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8634" w14:textId="2681DE32" w:rsidR="00E175C3" w:rsidRPr="001319E4" w:rsidRDefault="001D01AC" w:rsidP="00E50B14">
      <w:pPr>
        <w:widowControl w:val="0"/>
        <w:shd w:val="clear" w:color="auto" w:fill="FFFFFF"/>
        <w:spacing w:after="120"/>
        <w:jc w:val="both"/>
        <w:rPr>
          <w:rFonts w:ascii="Bookman Old Style" w:hAnsi="Bookman Old Style" w:cs="Calibri"/>
          <w:bCs/>
          <w:i/>
          <w:iCs/>
          <w:sz w:val="24"/>
          <w:szCs w:val="24"/>
        </w:rPr>
      </w:pPr>
      <w:bookmarkStart w:id="0" w:name="_GoBack"/>
      <w:bookmarkEnd w:id="0"/>
      <w:r w:rsidRPr="001319E4">
        <w:rPr>
          <w:rFonts w:ascii="Bookman Old Style" w:hAnsi="Bookman Old Style" w:cs="Calibri"/>
          <w:bCs/>
          <w:i/>
          <w:iCs/>
          <w:sz w:val="24"/>
          <w:szCs w:val="24"/>
        </w:rPr>
        <w:t xml:space="preserve">Roma, </w:t>
      </w:r>
      <w:r w:rsidR="00BE06DA" w:rsidRPr="001319E4">
        <w:rPr>
          <w:rFonts w:ascii="Bookman Old Style" w:hAnsi="Bookman Old Style" w:cs="Calibri"/>
          <w:bCs/>
          <w:i/>
          <w:iCs/>
          <w:sz w:val="24"/>
          <w:szCs w:val="24"/>
        </w:rPr>
        <w:t>2</w:t>
      </w:r>
      <w:r w:rsidR="00FB4D41" w:rsidRPr="001319E4">
        <w:rPr>
          <w:rFonts w:ascii="Bookman Old Style" w:hAnsi="Bookman Old Style" w:cs="Calibri"/>
          <w:bCs/>
          <w:i/>
          <w:iCs/>
          <w:sz w:val="24"/>
          <w:szCs w:val="24"/>
        </w:rPr>
        <w:t>4</w:t>
      </w:r>
      <w:r w:rsidR="00BE06DA" w:rsidRPr="001319E4">
        <w:rPr>
          <w:rFonts w:ascii="Bookman Old Style" w:hAnsi="Bookman Old Style" w:cs="Calibri"/>
          <w:bCs/>
          <w:i/>
          <w:iCs/>
          <w:sz w:val="24"/>
          <w:szCs w:val="24"/>
        </w:rPr>
        <w:t xml:space="preserve"> settembre </w:t>
      </w:r>
      <w:r w:rsidRPr="001319E4">
        <w:rPr>
          <w:rFonts w:ascii="Bookman Old Style" w:hAnsi="Bookman Old Style" w:cs="Calibri"/>
          <w:bCs/>
          <w:i/>
          <w:iCs/>
          <w:sz w:val="24"/>
          <w:szCs w:val="24"/>
        </w:rPr>
        <w:t>2020</w:t>
      </w:r>
    </w:p>
    <w:p w14:paraId="62669736" w14:textId="77777777" w:rsidR="001D01AC" w:rsidRPr="001319E4" w:rsidRDefault="001D01AC" w:rsidP="00E50B14">
      <w:pPr>
        <w:widowControl w:val="0"/>
        <w:shd w:val="clear" w:color="auto" w:fill="FFFFFF"/>
        <w:spacing w:after="120"/>
        <w:jc w:val="both"/>
        <w:rPr>
          <w:rFonts w:ascii="Bookman Old Style" w:hAnsi="Bookman Old Style" w:cs="Calibri"/>
          <w:bCs/>
          <w:i/>
          <w:iCs/>
          <w:color w:val="FF0000"/>
          <w:sz w:val="24"/>
          <w:szCs w:val="24"/>
          <w:u w:val="single"/>
        </w:rPr>
      </w:pPr>
    </w:p>
    <w:p w14:paraId="2D67B760" w14:textId="744FDE3F" w:rsidR="00A4180C" w:rsidRPr="001319E4" w:rsidRDefault="005D68E1" w:rsidP="00A4180C">
      <w:pPr>
        <w:spacing w:line="360" w:lineRule="auto"/>
        <w:jc w:val="center"/>
        <w:rPr>
          <w:rFonts w:ascii="Bookman Old Style" w:hAnsi="Bookman Old Style"/>
          <w:b/>
          <w:bCs/>
        </w:rPr>
      </w:pPr>
      <w:r>
        <w:rPr>
          <w:noProof/>
          <w:lang w:eastAsia="it-IT"/>
        </w:rPr>
        <w:drawing>
          <wp:inline distT="0" distB="0" distL="0" distR="0" wp14:anchorId="2A48A597" wp14:editId="456406EC">
            <wp:extent cx="943200" cy="1394296"/>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943200" cy="1394296"/>
                    </a:xfrm>
                    <a:prstGeom prst="rect">
                      <a:avLst/>
                    </a:prstGeom>
                  </pic:spPr>
                </pic:pic>
              </a:graphicData>
            </a:graphic>
          </wp:inline>
        </w:drawing>
      </w:r>
    </w:p>
    <w:p w14:paraId="4F6472B9" w14:textId="77777777" w:rsidR="001319E4" w:rsidRDefault="0040086A" w:rsidP="001319E4">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b/>
          <w:bCs/>
          <w:sz w:val="28"/>
          <w:szCs w:val="28"/>
        </w:rPr>
      </w:pPr>
      <w:r w:rsidRPr="001319E4">
        <w:rPr>
          <w:rFonts w:ascii="Bookman Old Style" w:hAnsi="Bookman Old Style"/>
          <w:b/>
          <w:bCs/>
          <w:sz w:val="28"/>
          <w:szCs w:val="28"/>
        </w:rPr>
        <w:t>N</w:t>
      </w:r>
      <w:r w:rsidR="009B6801" w:rsidRPr="001319E4">
        <w:rPr>
          <w:rFonts w:ascii="Bookman Old Style" w:hAnsi="Bookman Old Style"/>
          <w:b/>
          <w:bCs/>
          <w:sz w:val="28"/>
          <w:szCs w:val="28"/>
        </w:rPr>
        <w:t>ota di lettura ANCI</w:t>
      </w:r>
      <w:r w:rsidRPr="001319E4">
        <w:rPr>
          <w:rFonts w:ascii="Bookman Old Style" w:hAnsi="Bookman Old Style"/>
          <w:b/>
          <w:bCs/>
          <w:sz w:val="28"/>
          <w:szCs w:val="28"/>
        </w:rPr>
        <w:t xml:space="preserve"> </w:t>
      </w:r>
    </w:p>
    <w:p w14:paraId="7EF2A6DA" w14:textId="47778635" w:rsidR="00A4180C" w:rsidRPr="001319E4" w:rsidRDefault="00A4180C" w:rsidP="001319E4">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b/>
          <w:bCs/>
          <w:i/>
          <w:iCs/>
        </w:rPr>
      </w:pPr>
      <w:r w:rsidRPr="001319E4">
        <w:rPr>
          <w:rFonts w:ascii="Bookman Old Style" w:hAnsi="Bookman Old Style"/>
          <w:b/>
          <w:bCs/>
          <w:i/>
          <w:iCs/>
        </w:rPr>
        <w:t>Decreto 17 marzo 2020</w:t>
      </w:r>
    </w:p>
    <w:p w14:paraId="30B412CD" w14:textId="0CCE49EF" w:rsidR="009B6801" w:rsidRPr="001319E4" w:rsidRDefault="009B6801" w:rsidP="001319E4">
      <w:pPr>
        <w:pBdr>
          <w:top w:val="single" w:sz="4" w:space="1" w:color="auto"/>
          <w:left w:val="single" w:sz="4" w:space="4" w:color="auto"/>
          <w:bottom w:val="single" w:sz="4" w:space="1" w:color="auto"/>
          <w:right w:val="single" w:sz="4" w:space="4" w:color="auto"/>
        </w:pBdr>
        <w:spacing w:line="240" w:lineRule="auto"/>
        <w:jc w:val="center"/>
        <w:rPr>
          <w:rFonts w:ascii="Bookman Old Style" w:hAnsi="Bookman Old Style"/>
          <w:b/>
          <w:bCs/>
          <w:i/>
          <w:iCs/>
        </w:rPr>
      </w:pPr>
      <w:r w:rsidRPr="001319E4">
        <w:rPr>
          <w:rFonts w:ascii="Bookman Old Style" w:hAnsi="Bookman Old Style"/>
          <w:b/>
          <w:bCs/>
          <w:i/>
          <w:iCs/>
        </w:rPr>
        <w:t xml:space="preserve">Circolare </w:t>
      </w:r>
      <w:r w:rsidR="00792055" w:rsidRPr="001319E4">
        <w:rPr>
          <w:rFonts w:ascii="Bookman Old Style" w:hAnsi="Bookman Old Style"/>
          <w:b/>
          <w:bCs/>
          <w:i/>
          <w:iCs/>
        </w:rPr>
        <w:t>13 maggio 2020</w:t>
      </w:r>
    </w:p>
    <w:p w14:paraId="3DF7F640" w14:textId="19DEB8AA" w:rsidR="00A4180C" w:rsidRPr="001319E4" w:rsidRDefault="001319E4" w:rsidP="001D01AC">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bCs/>
          <w:sz w:val="24"/>
          <w:szCs w:val="24"/>
        </w:rPr>
      </w:pPr>
      <w:r>
        <w:rPr>
          <w:rFonts w:ascii="Bookman Old Style" w:hAnsi="Bookman Old Style"/>
          <w:b/>
          <w:bCs/>
          <w:sz w:val="24"/>
          <w:szCs w:val="24"/>
        </w:rPr>
        <w:t>“</w:t>
      </w:r>
      <w:r w:rsidR="00A4180C" w:rsidRPr="001319E4">
        <w:rPr>
          <w:rFonts w:ascii="Bookman Old Style" w:hAnsi="Bookman Old Style"/>
          <w:b/>
          <w:bCs/>
          <w:sz w:val="24"/>
          <w:szCs w:val="24"/>
        </w:rPr>
        <w:t xml:space="preserve">Misure per la definizione delle capacità assunzionali </w:t>
      </w:r>
      <w:r w:rsidR="005D68E1" w:rsidRPr="001319E4">
        <w:rPr>
          <w:rFonts w:ascii="Bookman Old Style" w:hAnsi="Bookman Old Style"/>
          <w:b/>
          <w:bCs/>
          <w:sz w:val="24"/>
          <w:szCs w:val="24"/>
        </w:rPr>
        <w:br/>
      </w:r>
      <w:r w:rsidR="00A4180C" w:rsidRPr="001319E4">
        <w:rPr>
          <w:rFonts w:ascii="Bookman Old Style" w:hAnsi="Bookman Old Style"/>
          <w:b/>
          <w:bCs/>
          <w:sz w:val="24"/>
          <w:szCs w:val="24"/>
        </w:rPr>
        <w:t xml:space="preserve">di personale a tempo indeterminato dei </w:t>
      </w:r>
      <w:r w:rsidR="00792055" w:rsidRPr="001319E4">
        <w:rPr>
          <w:rFonts w:ascii="Bookman Old Style" w:hAnsi="Bookman Old Style"/>
          <w:b/>
          <w:bCs/>
          <w:sz w:val="24"/>
          <w:szCs w:val="24"/>
        </w:rPr>
        <w:t>C</w:t>
      </w:r>
      <w:r w:rsidR="00A4180C" w:rsidRPr="001319E4">
        <w:rPr>
          <w:rFonts w:ascii="Bookman Old Style" w:hAnsi="Bookman Old Style"/>
          <w:b/>
          <w:bCs/>
          <w:sz w:val="24"/>
          <w:szCs w:val="24"/>
        </w:rPr>
        <w:t>omuni</w:t>
      </w:r>
      <w:r>
        <w:rPr>
          <w:rFonts w:ascii="Bookman Old Style" w:hAnsi="Bookman Old Style"/>
          <w:b/>
          <w:bCs/>
          <w:sz w:val="24"/>
          <w:szCs w:val="24"/>
        </w:rPr>
        <w:t>”</w:t>
      </w:r>
    </w:p>
    <w:p w14:paraId="310D8F00" w14:textId="77777777" w:rsidR="00A4180C" w:rsidRPr="001319E4" w:rsidRDefault="00A4180C" w:rsidP="00E50B14">
      <w:pPr>
        <w:widowControl w:val="0"/>
        <w:shd w:val="clear" w:color="auto" w:fill="FFFFFF"/>
        <w:spacing w:after="120"/>
        <w:jc w:val="both"/>
        <w:rPr>
          <w:rFonts w:ascii="Bookman Old Style" w:hAnsi="Bookman Old Style" w:cs="Calibri"/>
          <w:b/>
          <w:color w:val="222222"/>
          <w:sz w:val="24"/>
          <w:szCs w:val="24"/>
          <w:u w:val="single"/>
        </w:rPr>
      </w:pPr>
    </w:p>
    <w:p w14:paraId="7697FDB6" w14:textId="77777777" w:rsidR="00A4180C" w:rsidRPr="001319E4" w:rsidRDefault="00A4180C" w:rsidP="00E50B14">
      <w:pPr>
        <w:widowControl w:val="0"/>
        <w:shd w:val="clear" w:color="auto" w:fill="FFFFFF"/>
        <w:spacing w:after="120"/>
        <w:jc w:val="both"/>
        <w:rPr>
          <w:rFonts w:ascii="Bookman Old Style" w:hAnsi="Bookman Old Style" w:cs="Calibri"/>
          <w:b/>
          <w:color w:val="222222"/>
          <w:sz w:val="24"/>
          <w:szCs w:val="24"/>
          <w:u w:val="single"/>
        </w:rPr>
      </w:pPr>
    </w:p>
    <w:p w14:paraId="0EA76F98" w14:textId="4E00C127" w:rsidR="00E30F20" w:rsidRPr="001319E4" w:rsidRDefault="00A4180C" w:rsidP="00A4180C">
      <w:pPr>
        <w:widowControl w:val="0"/>
        <w:shd w:val="clear" w:color="auto" w:fill="FFFFFF"/>
        <w:spacing w:after="120"/>
        <w:jc w:val="both"/>
        <w:rPr>
          <w:rFonts w:ascii="Bookman Old Style" w:hAnsi="Bookman Old Style" w:cs="Calibri"/>
          <w:b/>
          <w:bCs/>
          <w:color w:val="222222"/>
          <w:sz w:val="24"/>
          <w:szCs w:val="24"/>
        </w:rPr>
      </w:pPr>
      <w:r w:rsidRPr="001319E4">
        <w:rPr>
          <w:rFonts w:ascii="Bookman Old Style" w:hAnsi="Bookman Old Style" w:cs="Calibri"/>
          <w:b/>
          <w:bCs/>
          <w:color w:val="222222"/>
          <w:sz w:val="24"/>
          <w:szCs w:val="24"/>
        </w:rPr>
        <w:t>P</w:t>
      </w:r>
      <w:r w:rsidR="00E30F20" w:rsidRPr="001319E4">
        <w:rPr>
          <w:rFonts w:ascii="Bookman Old Style" w:hAnsi="Bookman Old Style" w:cs="Calibri"/>
          <w:b/>
          <w:bCs/>
          <w:color w:val="222222"/>
          <w:sz w:val="24"/>
          <w:szCs w:val="24"/>
        </w:rPr>
        <w:t>remessa</w:t>
      </w:r>
    </w:p>
    <w:p w14:paraId="1B245B37" w14:textId="26F8C39E" w:rsidR="002E4354" w:rsidRPr="001319E4" w:rsidRDefault="002E4354" w:rsidP="00E50B14">
      <w:pPr>
        <w:widowControl w:val="0"/>
        <w:shd w:val="clear" w:color="auto" w:fill="FFFFFF"/>
        <w:spacing w:after="120"/>
        <w:jc w:val="both"/>
        <w:rPr>
          <w:rFonts w:ascii="Bookman Old Style" w:hAnsi="Bookman Old Style" w:cs="Calibri"/>
          <w:color w:val="222222"/>
          <w:sz w:val="24"/>
          <w:szCs w:val="24"/>
        </w:rPr>
      </w:pPr>
      <w:r w:rsidRPr="001319E4">
        <w:rPr>
          <w:rFonts w:ascii="Bookman Old Style" w:hAnsi="Bookman Old Style" w:cs="Calibri"/>
          <w:color w:val="222222"/>
          <w:sz w:val="24"/>
          <w:szCs w:val="24"/>
        </w:rPr>
        <w:t>Dopo un lungo periodo di costante riduzione del personale in servizio nei comuni italiani (oltre 84.000 unità in meno solo nell’ultimo decennio, con una riduzione che supera il 20% del totale)</w:t>
      </w:r>
      <w:r w:rsidR="00553885">
        <w:rPr>
          <w:rFonts w:ascii="Bookman Old Style" w:hAnsi="Bookman Old Style" w:cs="Calibri"/>
          <w:color w:val="222222"/>
          <w:sz w:val="24"/>
          <w:szCs w:val="24"/>
        </w:rPr>
        <w:t xml:space="preserve"> a causa dei rigidi limiti sulla spesa per il personale</w:t>
      </w:r>
      <w:r w:rsidR="00CA65C8" w:rsidRPr="001319E4">
        <w:rPr>
          <w:rFonts w:ascii="Bookman Old Style" w:hAnsi="Bookman Old Style" w:cs="Calibri"/>
          <w:color w:val="222222"/>
          <w:sz w:val="24"/>
          <w:szCs w:val="24"/>
        </w:rPr>
        <w:t>,</w:t>
      </w:r>
      <w:r w:rsidRPr="001319E4">
        <w:rPr>
          <w:rFonts w:ascii="Bookman Old Style" w:hAnsi="Bookman Old Style" w:cs="Calibri"/>
          <w:color w:val="222222"/>
          <w:sz w:val="24"/>
          <w:szCs w:val="24"/>
        </w:rPr>
        <w:t xml:space="preserve"> solo</w:t>
      </w:r>
      <w:r w:rsidR="00553885">
        <w:rPr>
          <w:rFonts w:ascii="Bookman Old Style" w:hAnsi="Bookman Old Style" w:cs="Calibri"/>
          <w:color w:val="222222"/>
          <w:sz w:val="24"/>
          <w:szCs w:val="24"/>
        </w:rPr>
        <w:t xml:space="preserve"> nell’ultimo triennio gradualmente</w:t>
      </w:r>
      <w:r w:rsidR="00CA65C8" w:rsidRPr="001319E4">
        <w:rPr>
          <w:rFonts w:ascii="Bookman Old Style" w:hAnsi="Bookman Old Style" w:cs="Calibri"/>
          <w:color w:val="222222"/>
          <w:sz w:val="24"/>
          <w:szCs w:val="24"/>
        </w:rPr>
        <w:t xml:space="preserve"> i Comuni hanno </w:t>
      </w:r>
      <w:r w:rsidR="00051CD0" w:rsidRPr="001319E4">
        <w:rPr>
          <w:rFonts w:ascii="Bookman Old Style" w:hAnsi="Bookman Old Style" w:cs="Calibri"/>
          <w:color w:val="222222"/>
          <w:sz w:val="24"/>
          <w:szCs w:val="24"/>
        </w:rPr>
        <w:t>riacquisito maggiore margine assunzionale</w:t>
      </w:r>
      <w:r w:rsidRPr="001319E4">
        <w:rPr>
          <w:rFonts w:ascii="Bookman Old Style" w:hAnsi="Bookman Old Style" w:cs="Calibri"/>
          <w:color w:val="222222"/>
          <w:sz w:val="24"/>
          <w:szCs w:val="24"/>
        </w:rPr>
        <w:t xml:space="preserve">, </w:t>
      </w:r>
      <w:r w:rsidR="00553885">
        <w:rPr>
          <w:rFonts w:ascii="Bookman Old Style" w:hAnsi="Bookman Old Style" w:cs="Calibri"/>
          <w:color w:val="222222"/>
          <w:sz w:val="24"/>
          <w:szCs w:val="24"/>
        </w:rPr>
        <w:t xml:space="preserve">grazie a </w:t>
      </w:r>
      <w:r w:rsidR="00546CF0" w:rsidRPr="001319E4">
        <w:rPr>
          <w:rFonts w:ascii="Bookman Old Style" w:hAnsi="Bookman Old Style" w:cs="Calibri"/>
          <w:color w:val="222222"/>
          <w:sz w:val="24"/>
          <w:szCs w:val="24"/>
        </w:rPr>
        <w:t xml:space="preserve">specifiche </w:t>
      </w:r>
      <w:r w:rsidRPr="001319E4">
        <w:rPr>
          <w:rFonts w:ascii="Bookman Old Style" w:hAnsi="Bookman Old Style" w:cs="Calibri"/>
          <w:color w:val="222222"/>
          <w:sz w:val="24"/>
          <w:szCs w:val="24"/>
        </w:rPr>
        <w:t>misure richieste dall’ANCI:</w:t>
      </w:r>
    </w:p>
    <w:p w14:paraId="0D6BA0BD" w14:textId="28007726" w:rsidR="002E4354" w:rsidRPr="001319E4" w:rsidRDefault="002E4354" w:rsidP="00E50B14">
      <w:pPr>
        <w:pStyle w:val="Paragrafoelenco"/>
        <w:widowControl w:val="0"/>
        <w:numPr>
          <w:ilvl w:val="0"/>
          <w:numId w:val="9"/>
        </w:numPr>
        <w:shd w:val="clear" w:color="auto" w:fill="FFFFFF"/>
        <w:spacing w:after="120"/>
        <w:jc w:val="both"/>
        <w:rPr>
          <w:rFonts w:ascii="Bookman Old Style" w:hAnsi="Bookman Old Style" w:cs="Calibri"/>
          <w:color w:val="222222"/>
          <w:sz w:val="24"/>
          <w:szCs w:val="24"/>
        </w:rPr>
      </w:pPr>
      <w:r w:rsidRPr="001319E4">
        <w:rPr>
          <w:rFonts w:ascii="Bookman Old Style" w:hAnsi="Bookman Old Style" w:cs="Calibri"/>
          <w:color w:val="222222"/>
          <w:sz w:val="24"/>
          <w:szCs w:val="24"/>
        </w:rPr>
        <w:t>possibilità di sostituire integralmente il personale che cessa dal servizio (</w:t>
      </w:r>
      <w:r w:rsidRPr="001319E4">
        <w:rPr>
          <w:rFonts w:ascii="Bookman Old Style" w:hAnsi="Bookman Old Style"/>
          <w:i/>
          <w:color w:val="222222"/>
          <w:sz w:val="24"/>
        </w:rPr>
        <w:t>turn-over</w:t>
      </w:r>
      <w:r w:rsidRPr="001319E4">
        <w:rPr>
          <w:rFonts w:ascii="Bookman Old Style" w:hAnsi="Bookman Old Style" w:cs="Calibri"/>
          <w:color w:val="222222"/>
          <w:sz w:val="24"/>
          <w:szCs w:val="24"/>
        </w:rPr>
        <w:t xml:space="preserve"> al 100%</w:t>
      </w:r>
      <w:r w:rsidR="006E6CC5" w:rsidRPr="001319E4">
        <w:rPr>
          <w:rFonts w:ascii="Bookman Old Style" w:hAnsi="Bookman Old Style" w:cs="Calibri"/>
          <w:color w:val="222222"/>
          <w:sz w:val="24"/>
          <w:szCs w:val="24"/>
        </w:rPr>
        <w:t>)</w:t>
      </w:r>
      <w:r w:rsidRPr="001319E4">
        <w:rPr>
          <w:rFonts w:ascii="Bookman Old Style" w:hAnsi="Bookman Old Style" w:cs="Calibri"/>
          <w:color w:val="222222"/>
          <w:sz w:val="24"/>
          <w:szCs w:val="24"/>
        </w:rPr>
        <w:t>;</w:t>
      </w:r>
    </w:p>
    <w:p w14:paraId="064EBD23" w14:textId="4C94226D" w:rsidR="00AA5E01" w:rsidRPr="001319E4" w:rsidRDefault="002E4354" w:rsidP="00E50B14">
      <w:pPr>
        <w:pStyle w:val="Paragrafoelenco"/>
        <w:widowControl w:val="0"/>
        <w:numPr>
          <w:ilvl w:val="0"/>
          <w:numId w:val="9"/>
        </w:numPr>
        <w:shd w:val="clear" w:color="auto" w:fill="FFFFFF"/>
        <w:spacing w:after="120"/>
        <w:jc w:val="both"/>
        <w:rPr>
          <w:rFonts w:ascii="Bookman Old Style" w:hAnsi="Bookman Old Style" w:cs="Calibri"/>
          <w:color w:val="222222"/>
          <w:sz w:val="24"/>
          <w:szCs w:val="24"/>
        </w:rPr>
      </w:pPr>
      <w:r w:rsidRPr="001319E4">
        <w:rPr>
          <w:rFonts w:ascii="Bookman Old Style" w:hAnsi="Bookman Old Style" w:cs="Calibri"/>
          <w:color w:val="222222"/>
          <w:sz w:val="24"/>
          <w:szCs w:val="24"/>
        </w:rPr>
        <w:t>possibilità di effettuare le sostituzioni anche in corso d’anno</w:t>
      </w:r>
      <w:r w:rsidR="006A7527" w:rsidRPr="001319E4">
        <w:rPr>
          <w:rFonts w:ascii="Bookman Old Style" w:hAnsi="Bookman Old Style" w:cs="Calibri"/>
          <w:color w:val="222222"/>
          <w:sz w:val="24"/>
          <w:szCs w:val="24"/>
        </w:rPr>
        <w:t xml:space="preserve">, senza dover </w:t>
      </w:r>
      <w:r w:rsidRPr="001319E4">
        <w:rPr>
          <w:rFonts w:ascii="Bookman Old Style" w:hAnsi="Bookman Old Style" w:cs="Calibri"/>
          <w:color w:val="222222"/>
          <w:sz w:val="24"/>
          <w:szCs w:val="24"/>
        </w:rPr>
        <w:t>attendere l’esercizio finanziario successivo al pensionamento</w:t>
      </w:r>
      <w:r w:rsidR="006E6CC5" w:rsidRPr="001319E4">
        <w:rPr>
          <w:rFonts w:ascii="Bookman Old Style" w:hAnsi="Bookman Old Style" w:cs="Calibri"/>
          <w:color w:val="222222"/>
          <w:sz w:val="24"/>
          <w:szCs w:val="24"/>
        </w:rPr>
        <w:t>/cessazione</w:t>
      </w:r>
      <w:r w:rsidRPr="001319E4">
        <w:rPr>
          <w:rFonts w:ascii="Bookman Old Style" w:hAnsi="Bookman Old Style" w:cs="Calibri"/>
          <w:color w:val="222222"/>
          <w:sz w:val="24"/>
          <w:szCs w:val="24"/>
        </w:rPr>
        <w:t xml:space="preserve"> del dipendente da sostituire</w:t>
      </w:r>
      <w:r w:rsidR="001D01AC" w:rsidRPr="001319E4">
        <w:rPr>
          <w:rFonts w:ascii="Bookman Old Style" w:hAnsi="Bookman Old Style" w:cs="Calibri"/>
          <w:color w:val="222222"/>
          <w:sz w:val="24"/>
          <w:szCs w:val="24"/>
        </w:rPr>
        <w:t>;</w:t>
      </w:r>
      <w:r w:rsidR="00AA5E01" w:rsidRPr="001319E4">
        <w:rPr>
          <w:rFonts w:ascii="Bookman Old Style" w:hAnsi="Bookman Old Style" w:cs="Calibri"/>
          <w:color w:val="222222"/>
          <w:sz w:val="24"/>
          <w:szCs w:val="24"/>
        </w:rPr>
        <w:t xml:space="preserve"> </w:t>
      </w:r>
    </w:p>
    <w:p w14:paraId="636360A3" w14:textId="3272D354" w:rsidR="002E4354" w:rsidRPr="001319E4" w:rsidRDefault="00AA5E01" w:rsidP="00E50B14">
      <w:pPr>
        <w:pStyle w:val="Paragrafoelenco"/>
        <w:widowControl w:val="0"/>
        <w:numPr>
          <w:ilvl w:val="0"/>
          <w:numId w:val="9"/>
        </w:numPr>
        <w:shd w:val="clear" w:color="auto" w:fill="FFFFFF"/>
        <w:spacing w:after="120"/>
        <w:jc w:val="both"/>
        <w:rPr>
          <w:rFonts w:ascii="Bookman Old Style" w:hAnsi="Bookman Old Style" w:cs="Calibri"/>
          <w:color w:val="222222"/>
          <w:sz w:val="24"/>
          <w:szCs w:val="24"/>
        </w:rPr>
      </w:pPr>
      <w:r w:rsidRPr="001319E4">
        <w:rPr>
          <w:rFonts w:ascii="Bookman Old Style" w:hAnsi="Bookman Old Style" w:cs="Calibri"/>
          <w:color w:val="222222"/>
          <w:sz w:val="24"/>
          <w:szCs w:val="24"/>
        </w:rPr>
        <w:t>utilizzo dei resti assunzionali degli ultimi cinque anni</w:t>
      </w:r>
      <w:r w:rsidR="00974EA1" w:rsidRPr="001319E4">
        <w:rPr>
          <w:rFonts w:ascii="Bookman Old Style" w:hAnsi="Bookman Old Style" w:cs="Calibri"/>
          <w:color w:val="222222"/>
          <w:sz w:val="24"/>
          <w:szCs w:val="24"/>
        </w:rPr>
        <w:t>.</w:t>
      </w:r>
    </w:p>
    <w:p w14:paraId="297E0A40" w14:textId="6354C6C9" w:rsidR="00A4180C" w:rsidRPr="00553885" w:rsidRDefault="00CA65C8" w:rsidP="00A4180C">
      <w:pPr>
        <w:widowControl w:val="0"/>
        <w:shd w:val="clear" w:color="auto" w:fill="FFFFFF"/>
        <w:spacing w:after="120"/>
        <w:jc w:val="both"/>
        <w:rPr>
          <w:rFonts w:ascii="Bookman Old Style" w:hAnsi="Bookman Old Style" w:cs="Calibri"/>
          <w:bCs/>
          <w:color w:val="222222"/>
          <w:sz w:val="24"/>
          <w:szCs w:val="24"/>
          <w:u w:val="single"/>
        </w:rPr>
      </w:pPr>
      <w:r w:rsidRPr="001319E4">
        <w:rPr>
          <w:rFonts w:ascii="Bookman Old Style" w:hAnsi="Bookman Old Style" w:cs="Calibri"/>
          <w:bCs/>
          <w:color w:val="222222"/>
          <w:sz w:val="24"/>
          <w:szCs w:val="24"/>
        </w:rPr>
        <w:t xml:space="preserve">In questo quadro </w:t>
      </w:r>
      <w:r w:rsidR="00AA5E01" w:rsidRPr="001319E4">
        <w:rPr>
          <w:rFonts w:ascii="Bookman Old Style" w:hAnsi="Bookman Old Style" w:cs="Calibri"/>
          <w:bCs/>
          <w:color w:val="222222"/>
          <w:sz w:val="24"/>
          <w:szCs w:val="24"/>
        </w:rPr>
        <w:t>ordinamentale</w:t>
      </w:r>
      <w:r w:rsidR="00553885">
        <w:rPr>
          <w:rFonts w:ascii="Bookman Old Style" w:hAnsi="Bookman Old Style" w:cs="Calibri"/>
          <w:bCs/>
          <w:color w:val="222222"/>
          <w:sz w:val="24"/>
          <w:szCs w:val="24"/>
        </w:rPr>
        <w:t xml:space="preserve"> conquistato di recente</w:t>
      </w:r>
      <w:r w:rsidR="00AA5E01" w:rsidRPr="001319E4">
        <w:rPr>
          <w:rFonts w:ascii="Bookman Old Style" w:hAnsi="Bookman Old Style" w:cs="Calibri"/>
          <w:bCs/>
          <w:color w:val="222222"/>
          <w:sz w:val="24"/>
          <w:szCs w:val="24"/>
        </w:rPr>
        <w:t xml:space="preserve">, </w:t>
      </w:r>
      <w:r w:rsidRPr="001319E4">
        <w:rPr>
          <w:rFonts w:ascii="Bookman Old Style" w:hAnsi="Bookman Old Style" w:cs="Calibri"/>
          <w:bCs/>
          <w:color w:val="222222"/>
          <w:sz w:val="24"/>
          <w:szCs w:val="24"/>
        </w:rPr>
        <w:t>è intervenuto il Decreto Crescita (D.L. n. 34/2019) che</w:t>
      </w:r>
      <w:r w:rsidR="001D4CA4" w:rsidRPr="001319E4">
        <w:rPr>
          <w:rFonts w:ascii="Bookman Old Style" w:hAnsi="Bookman Old Style" w:cs="Calibri"/>
          <w:bCs/>
          <w:color w:val="222222"/>
          <w:sz w:val="24"/>
          <w:szCs w:val="24"/>
        </w:rPr>
        <w:t>,</w:t>
      </w:r>
      <w:r w:rsidRPr="001319E4">
        <w:rPr>
          <w:rFonts w:ascii="Bookman Old Style" w:hAnsi="Bookman Old Style" w:cs="Calibri"/>
          <w:bCs/>
          <w:color w:val="222222"/>
          <w:sz w:val="24"/>
          <w:szCs w:val="24"/>
        </w:rPr>
        <w:t xml:space="preserve"> all’</w:t>
      </w:r>
      <w:r w:rsidR="00301303" w:rsidRPr="001319E4">
        <w:rPr>
          <w:rFonts w:ascii="Bookman Old Style" w:hAnsi="Bookman Old Style" w:cs="Calibri"/>
          <w:bCs/>
          <w:color w:val="222222"/>
          <w:sz w:val="24"/>
          <w:szCs w:val="24"/>
        </w:rPr>
        <w:t>articolo 33</w:t>
      </w:r>
      <w:r w:rsidR="001D4CA4" w:rsidRPr="001319E4">
        <w:rPr>
          <w:rFonts w:ascii="Bookman Old Style" w:hAnsi="Bookman Old Style" w:cs="Calibri"/>
          <w:bCs/>
          <w:color w:val="222222"/>
          <w:sz w:val="24"/>
          <w:szCs w:val="24"/>
        </w:rPr>
        <w:t>,</w:t>
      </w:r>
      <w:r w:rsidR="00301303" w:rsidRPr="001319E4">
        <w:rPr>
          <w:rFonts w:ascii="Bookman Old Style" w:hAnsi="Bookman Old Style" w:cs="Calibri"/>
          <w:bCs/>
          <w:color w:val="222222"/>
          <w:sz w:val="24"/>
          <w:szCs w:val="24"/>
        </w:rPr>
        <w:t xml:space="preserve"> </w:t>
      </w:r>
      <w:r w:rsidR="00A4180C" w:rsidRPr="001319E4">
        <w:rPr>
          <w:rFonts w:ascii="Bookman Old Style" w:hAnsi="Bookman Old Style" w:cs="Calibri"/>
          <w:bCs/>
          <w:color w:val="222222"/>
          <w:sz w:val="24"/>
          <w:szCs w:val="24"/>
        </w:rPr>
        <w:t xml:space="preserve">ha introdotto una modifica significativa del sistema di calcolo della capacità assunzionale per i Comuni, prevedendo il superamento del </w:t>
      </w:r>
      <w:r w:rsidR="00A4180C" w:rsidRPr="001319E4">
        <w:rPr>
          <w:rFonts w:ascii="Bookman Old Style" w:hAnsi="Bookman Old Style" w:cs="Calibri"/>
          <w:bCs/>
          <w:i/>
          <w:iCs/>
          <w:color w:val="222222"/>
          <w:sz w:val="24"/>
          <w:szCs w:val="24"/>
        </w:rPr>
        <w:t>turn-over</w:t>
      </w:r>
      <w:r w:rsidR="00A4180C" w:rsidRPr="001319E4">
        <w:rPr>
          <w:rFonts w:ascii="Bookman Old Style" w:hAnsi="Bookman Old Style" w:cs="Calibri"/>
          <w:bCs/>
          <w:color w:val="222222"/>
          <w:sz w:val="24"/>
          <w:szCs w:val="24"/>
        </w:rPr>
        <w:t xml:space="preserve"> e l’introduzione di </w:t>
      </w:r>
      <w:r w:rsidR="00A4180C" w:rsidRPr="00553885">
        <w:rPr>
          <w:rFonts w:ascii="Bookman Old Style" w:hAnsi="Bookman Old Style" w:cs="Calibri"/>
          <w:bCs/>
          <w:color w:val="222222"/>
          <w:sz w:val="24"/>
          <w:szCs w:val="24"/>
          <w:u w:val="single"/>
        </w:rPr>
        <w:t>un sistema basato sulla sostenibilità finanziaria della spesa di personale.</w:t>
      </w:r>
    </w:p>
    <w:p w14:paraId="635C0527" w14:textId="6974688E" w:rsidR="00A4180C" w:rsidRPr="001319E4" w:rsidRDefault="00A4180C" w:rsidP="00A4180C">
      <w:pPr>
        <w:widowControl w:val="0"/>
        <w:shd w:val="clear" w:color="auto" w:fill="FFFFFF"/>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L’art. 3</w:t>
      </w:r>
      <w:r w:rsidR="00AA5E01" w:rsidRPr="001319E4">
        <w:rPr>
          <w:rFonts w:ascii="Bookman Old Style" w:hAnsi="Bookman Old Style" w:cs="Calibri"/>
          <w:bCs/>
          <w:color w:val="222222"/>
          <w:sz w:val="24"/>
          <w:szCs w:val="24"/>
        </w:rPr>
        <w:t>3, comma 2, del DL 34</w:t>
      </w:r>
      <w:r w:rsidR="001D01AC" w:rsidRPr="001319E4">
        <w:rPr>
          <w:rFonts w:ascii="Bookman Old Style" w:hAnsi="Bookman Old Style" w:cs="Calibri"/>
          <w:bCs/>
          <w:color w:val="222222"/>
          <w:sz w:val="24"/>
          <w:szCs w:val="24"/>
        </w:rPr>
        <w:t>/</w:t>
      </w:r>
      <w:r w:rsidR="00AA5E01" w:rsidRPr="001319E4">
        <w:rPr>
          <w:rFonts w:ascii="Bookman Old Style" w:hAnsi="Bookman Old Style" w:cs="Calibri"/>
          <w:bCs/>
          <w:color w:val="222222"/>
          <w:sz w:val="24"/>
          <w:szCs w:val="24"/>
        </w:rPr>
        <w:t>2019,</w:t>
      </w:r>
      <w:r w:rsidRPr="001319E4">
        <w:rPr>
          <w:rFonts w:ascii="Bookman Old Style" w:hAnsi="Bookman Old Style" w:cs="Calibri"/>
          <w:bCs/>
          <w:color w:val="222222"/>
          <w:sz w:val="24"/>
          <w:szCs w:val="24"/>
        </w:rPr>
        <w:t xml:space="preserve"> </w:t>
      </w:r>
      <w:r w:rsidR="00553885">
        <w:rPr>
          <w:rFonts w:ascii="Bookman Old Style" w:hAnsi="Bookman Old Style" w:cs="Calibri"/>
          <w:bCs/>
          <w:color w:val="222222"/>
          <w:sz w:val="24"/>
          <w:szCs w:val="24"/>
        </w:rPr>
        <w:t>prevedeva</w:t>
      </w:r>
      <w:r w:rsidRPr="001319E4">
        <w:rPr>
          <w:rFonts w:ascii="Bookman Old Style" w:hAnsi="Bookman Old Style" w:cs="Calibri"/>
          <w:bCs/>
          <w:color w:val="222222"/>
          <w:sz w:val="24"/>
          <w:szCs w:val="24"/>
        </w:rPr>
        <w:t xml:space="preserve"> un Decreto attuativo</w:t>
      </w:r>
      <w:r w:rsidR="00553885">
        <w:rPr>
          <w:rFonts w:ascii="Bookman Old Style" w:hAnsi="Bookman Old Style" w:cs="Calibri"/>
          <w:bCs/>
          <w:color w:val="222222"/>
          <w:sz w:val="24"/>
          <w:szCs w:val="24"/>
        </w:rPr>
        <w:t xml:space="preserve"> per</w:t>
      </w:r>
      <w:r w:rsidRPr="001319E4">
        <w:rPr>
          <w:rFonts w:ascii="Bookman Old Style" w:hAnsi="Bookman Old Style" w:cs="Calibri"/>
          <w:bCs/>
          <w:color w:val="222222"/>
          <w:sz w:val="24"/>
          <w:szCs w:val="24"/>
        </w:rPr>
        <w:t xml:space="preserve"> l’individuazione:</w:t>
      </w:r>
    </w:p>
    <w:p w14:paraId="5C3E8315" w14:textId="77777777" w:rsidR="00A4180C" w:rsidRPr="001319E4" w:rsidRDefault="00A4180C" w:rsidP="00A4180C">
      <w:pPr>
        <w:pStyle w:val="Paragrafoelenco"/>
        <w:widowControl w:val="0"/>
        <w:numPr>
          <w:ilvl w:val="0"/>
          <w:numId w:val="28"/>
        </w:numPr>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dei criteri di sostenibilità finanziaria;</w:t>
      </w:r>
    </w:p>
    <w:p w14:paraId="65379544" w14:textId="77777777" w:rsidR="00A4180C" w:rsidRPr="001319E4" w:rsidRDefault="00A4180C" w:rsidP="00A4180C">
      <w:pPr>
        <w:pStyle w:val="Paragrafoelenco"/>
        <w:widowControl w:val="0"/>
        <w:numPr>
          <w:ilvl w:val="0"/>
          <w:numId w:val="28"/>
        </w:numPr>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lastRenderedPageBreak/>
        <w:t>della decorrenza della nuova disciplina.</w:t>
      </w:r>
    </w:p>
    <w:p w14:paraId="17B905C0" w14:textId="6FCB719F" w:rsidR="005D68E1" w:rsidRPr="001319E4" w:rsidRDefault="00A4180C" w:rsidP="00A4180C">
      <w:pPr>
        <w:widowControl w:val="0"/>
        <w:shd w:val="clear" w:color="auto" w:fill="FFFFFF"/>
        <w:spacing w:after="120"/>
        <w:jc w:val="both"/>
        <w:rPr>
          <w:rFonts w:ascii="Bookman Old Style" w:hAnsi="Bookman Old Style" w:cs="Calibri"/>
          <w:b/>
          <w:color w:val="222222"/>
          <w:sz w:val="24"/>
          <w:szCs w:val="24"/>
        </w:rPr>
      </w:pPr>
      <w:r w:rsidRPr="001319E4">
        <w:rPr>
          <w:rFonts w:ascii="Bookman Old Style" w:hAnsi="Bookman Old Style" w:cs="Calibri"/>
          <w:bCs/>
          <w:color w:val="222222"/>
          <w:sz w:val="24"/>
          <w:szCs w:val="24"/>
        </w:rPr>
        <w:t xml:space="preserve">Il </w:t>
      </w:r>
      <w:r w:rsidRPr="00553885">
        <w:rPr>
          <w:rFonts w:ascii="Bookman Old Style" w:hAnsi="Bookman Old Style" w:cs="Calibri"/>
          <w:bCs/>
          <w:color w:val="222222"/>
          <w:sz w:val="24"/>
          <w:szCs w:val="24"/>
          <w:u w:val="single"/>
        </w:rPr>
        <w:t>Decreto attuativo (DM 17 marzo 2020</w:t>
      </w:r>
      <w:r w:rsidRPr="001319E4">
        <w:rPr>
          <w:rFonts w:ascii="Bookman Old Style" w:hAnsi="Bookman Old Style" w:cs="Calibri"/>
          <w:bCs/>
          <w:color w:val="222222"/>
          <w:sz w:val="24"/>
          <w:szCs w:val="24"/>
        </w:rPr>
        <w:t xml:space="preserve">) è stato pubblicato nella Gazzetta ufficiale del </w:t>
      </w:r>
      <w:r w:rsidRPr="001319E4">
        <w:rPr>
          <w:rFonts w:ascii="Bookman Old Style" w:hAnsi="Bookman Old Style" w:cs="Calibri"/>
          <w:b/>
          <w:color w:val="222222"/>
          <w:sz w:val="24"/>
          <w:szCs w:val="24"/>
        </w:rPr>
        <w:t>27 aprile 2020</w:t>
      </w:r>
      <w:r w:rsidR="00AA5E01" w:rsidRPr="001319E4">
        <w:rPr>
          <w:rFonts w:ascii="Bookman Old Style" w:hAnsi="Bookman Old Style" w:cs="Calibri"/>
          <w:bCs/>
          <w:color w:val="222222"/>
          <w:sz w:val="24"/>
          <w:szCs w:val="24"/>
        </w:rPr>
        <w:t xml:space="preserve"> e fissa la decorrenza del nuovo sistema per il calcolo della capacità assunzione dei Comuni al </w:t>
      </w:r>
      <w:r w:rsidR="00AA5E01" w:rsidRPr="001319E4">
        <w:rPr>
          <w:rFonts w:ascii="Bookman Old Style" w:hAnsi="Bookman Old Style" w:cs="Calibri"/>
          <w:b/>
          <w:color w:val="222222"/>
          <w:sz w:val="24"/>
          <w:szCs w:val="24"/>
        </w:rPr>
        <w:t xml:space="preserve">20 </w:t>
      </w:r>
      <w:r w:rsidR="006A7527" w:rsidRPr="001319E4">
        <w:rPr>
          <w:rFonts w:ascii="Bookman Old Style" w:hAnsi="Bookman Old Style" w:cs="Calibri"/>
          <w:b/>
          <w:color w:val="222222"/>
          <w:sz w:val="24"/>
          <w:szCs w:val="24"/>
        </w:rPr>
        <w:t>a</w:t>
      </w:r>
      <w:r w:rsidR="00AA5E01" w:rsidRPr="001319E4">
        <w:rPr>
          <w:rFonts w:ascii="Bookman Old Style" w:hAnsi="Bookman Old Style" w:cs="Calibri"/>
          <w:b/>
          <w:color w:val="222222"/>
          <w:sz w:val="24"/>
          <w:szCs w:val="24"/>
        </w:rPr>
        <w:t>prile u.s.</w:t>
      </w:r>
      <w:r w:rsidR="006A7527" w:rsidRPr="001319E4">
        <w:rPr>
          <w:rFonts w:ascii="Bookman Old Style" w:hAnsi="Bookman Old Style" w:cs="Calibri"/>
          <w:b/>
          <w:color w:val="222222"/>
          <w:sz w:val="24"/>
          <w:szCs w:val="24"/>
        </w:rPr>
        <w:t xml:space="preserve"> </w:t>
      </w:r>
    </w:p>
    <w:p w14:paraId="5E9FCDCB" w14:textId="77777777" w:rsidR="00553885" w:rsidRDefault="006A7527" w:rsidP="00E30BC8">
      <w:pPr>
        <w:widowControl w:val="0"/>
        <w:shd w:val="clear" w:color="auto" w:fill="FFFFFF"/>
        <w:spacing w:after="120"/>
        <w:jc w:val="both"/>
        <w:rPr>
          <w:rFonts w:ascii="Bookman Old Style" w:hAnsi="Bookman Old Style" w:cs="Calibri"/>
          <w:bCs/>
          <w:sz w:val="24"/>
          <w:szCs w:val="24"/>
        </w:rPr>
      </w:pPr>
      <w:r w:rsidRPr="001319E4">
        <w:rPr>
          <w:rFonts w:ascii="Bookman Old Style" w:hAnsi="Bookman Old Style" w:cs="Calibri"/>
          <w:bCs/>
          <w:sz w:val="24"/>
          <w:szCs w:val="24"/>
        </w:rPr>
        <w:t xml:space="preserve">Ad esso ha fatto seguito l’emanazione </w:t>
      </w:r>
      <w:r w:rsidR="00397674" w:rsidRPr="001319E4">
        <w:rPr>
          <w:rFonts w:ascii="Bookman Old Style" w:hAnsi="Bookman Old Style" w:cs="Calibri"/>
          <w:bCs/>
          <w:sz w:val="24"/>
          <w:szCs w:val="24"/>
        </w:rPr>
        <w:t xml:space="preserve">della </w:t>
      </w:r>
      <w:r w:rsidR="00397674" w:rsidRPr="00553885">
        <w:rPr>
          <w:rFonts w:ascii="Bookman Old Style" w:hAnsi="Bookman Old Style" w:cs="Calibri"/>
          <w:bCs/>
          <w:sz w:val="24"/>
          <w:szCs w:val="24"/>
          <w:u w:val="single"/>
        </w:rPr>
        <w:t>circolare 1</w:t>
      </w:r>
      <w:r w:rsidR="00D82B2D" w:rsidRPr="00553885">
        <w:rPr>
          <w:rFonts w:ascii="Bookman Old Style" w:hAnsi="Bookman Old Style" w:cs="Calibri"/>
          <w:bCs/>
          <w:sz w:val="24"/>
          <w:szCs w:val="24"/>
          <w:u w:val="single"/>
        </w:rPr>
        <w:t xml:space="preserve">3 maggio </w:t>
      </w:r>
      <w:r w:rsidR="00397674" w:rsidRPr="00553885">
        <w:rPr>
          <w:rFonts w:ascii="Bookman Old Style" w:hAnsi="Bookman Old Style" w:cs="Calibri"/>
          <w:bCs/>
          <w:sz w:val="24"/>
          <w:szCs w:val="24"/>
          <w:u w:val="single"/>
        </w:rPr>
        <w:t>2020</w:t>
      </w:r>
      <w:r w:rsidR="002A348A" w:rsidRPr="00553885">
        <w:rPr>
          <w:rFonts w:ascii="Bookman Old Style" w:hAnsi="Bookman Old Style" w:cs="Calibri"/>
          <w:bCs/>
          <w:sz w:val="24"/>
          <w:szCs w:val="24"/>
          <w:u w:val="single"/>
        </w:rPr>
        <w:t>,</w:t>
      </w:r>
      <w:r w:rsidR="00D629D8" w:rsidRPr="00553885">
        <w:rPr>
          <w:rFonts w:ascii="Bookman Old Style" w:hAnsi="Bookman Old Style" w:cs="Calibri"/>
          <w:bCs/>
          <w:sz w:val="24"/>
          <w:szCs w:val="24"/>
          <w:u w:val="single"/>
        </w:rPr>
        <w:t xml:space="preserve"> </w:t>
      </w:r>
      <w:r w:rsidR="00490FF3" w:rsidRPr="00553885">
        <w:rPr>
          <w:rFonts w:ascii="Bookman Old Style" w:hAnsi="Bookman Old Style" w:cs="Calibri"/>
          <w:bCs/>
          <w:sz w:val="24"/>
          <w:szCs w:val="24"/>
          <w:u w:val="single"/>
        </w:rPr>
        <w:t xml:space="preserve">pubblicata </w:t>
      </w:r>
      <w:r w:rsidR="005A0DED" w:rsidRPr="00553885">
        <w:rPr>
          <w:rFonts w:ascii="Bookman Old Style" w:hAnsi="Bookman Old Style" w:cs="Calibri"/>
          <w:bCs/>
          <w:sz w:val="24"/>
          <w:szCs w:val="24"/>
          <w:u w:val="single"/>
        </w:rPr>
        <w:t xml:space="preserve"> </w:t>
      </w:r>
      <w:r w:rsidR="00490FF3" w:rsidRPr="00553885">
        <w:rPr>
          <w:rFonts w:ascii="Bookman Old Style" w:hAnsi="Bookman Old Style" w:cs="Calibri"/>
          <w:bCs/>
          <w:sz w:val="24"/>
          <w:szCs w:val="24"/>
          <w:u w:val="single"/>
        </w:rPr>
        <w:t xml:space="preserve">in </w:t>
      </w:r>
      <w:r w:rsidR="00407602" w:rsidRPr="00553885">
        <w:rPr>
          <w:rFonts w:ascii="Bookman Old Style" w:hAnsi="Bookman Old Style" w:cs="Calibri"/>
          <w:bCs/>
          <w:sz w:val="24"/>
          <w:szCs w:val="24"/>
          <w:u w:val="single"/>
        </w:rPr>
        <w:t>G</w:t>
      </w:r>
      <w:r w:rsidR="00490FF3" w:rsidRPr="00553885">
        <w:rPr>
          <w:rFonts w:ascii="Bookman Old Style" w:hAnsi="Bookman Old Style" w:cs="Calibri"/>
          <w:bCs/>
          <w:sz w:val="24"/>
          <w:szCs w:val="24"/>
          <w:u w:val="single"/>
        </w:rPr>
        <w:t>azzetta ufficiale</w:t>
      </w:r>
      <w:r w:rsidR="001F1BEB" w:rsidRPr="00553885">
        <w:rPr>
          <w:rFonts w:ascii="Bookman Old Style" w:hAnsi="Bookman Old Style" w:cs="Calibri"/>
          <w:bCs/>
          <w:sz w:val="24"/>
          <w:szCs w:val="24"/>
          <w:u w:val="single"/>
        </w:rPr>
        <w:t xml:space="preserve"> lo scorso 11 settembre,</w:t>
      </w:r>
      <w:r w:rsidR="001F1BEB" w:rsidRPr="001319E4">
        <w:rPr>
          <w:rFonts w:ascii="Bookman Old Style" w:hAnsi="Bookman Old Style" w:cs="Calibri"/>
          <w:bCs/>
          <w:sz w:val="24"/>
          <w:szCs w:val="24"/>
        </w:rPr>
        <w:t xml:space="preserve"> </w:t>
      </w:r>
      <w:r w:rsidR="00553885">
        <w:rPr>
          <w:rFonts w:ascii="Bookman Old Style" w:hAnsi="Bookman Old Style" w:cs="Calibri"/>
          <w:bCs/>
          <w:sz w:val="24"/>
          <w:szCs w:val="24"/>
        </w:rPr>
        <w:t>contenente alcuni essenziali  indirizzi applicativi</w:t>
      </w:r>
      <w:r w:rsidR="001F1BEB" w:rsidRPr="001319E4">
        <w:rPr>
          <w:rFonts w:ascii="Bookman Old Style" w:hAnsi="Bookman Old Style" w:cs="Calibri"/>
          <w:bCs/>
          <w:sz w:val="24"/>
          <w:szCs w:val="24"/>
        </w:rPr>
        <w:t xml:space="preserve">. </w:t>
      </w:r>
    </w:p>
    <w:p w14:paraId="05BFE443" w14:textId="73C1D11B" w:rsidR="00480A75" w:rsidRPr="001319E4" w:rsidRDefault="001F1BEB" w:rsidP="00E30BC8">
      <w:pPr>
        <w:widowControl w:val="0"/>
        <w:shd w:val="clear" w:color="auto" w:fill="FFFFFF"/>
        <w:spacing w:after="120"/>
        <w:jc w:val="both"/>
        <w:rPr>
          <w:rFonts w:ascii="Bookman Old Style" w:hAnsi="Bookman Old Style" w:cs="Calibri"/>
          <w:bCs/>
          <w:sz w:val="24"/>
          <w:szCs w:val="24"/>
        </w:rPr>
      </w:pPr>
      <w:r w:rsidRPr="001319E4">
        <w:rPr>
          <w:rFonts w:ascii="Bookman Old Style" w:hAnsi="Bookman Old Style" w:cs="Calibri"/>
          <w:bCs/>
          <w:sz w:val="24"/>
          <w:szCs w:val="24"/>
        </w:rPr>
        <w:t>Va</w:t>
      </w:r>
      <w:r w:rsidR="00553885">
        <w:rPr>
          <w:rFonts w:ascii="Bookman Old Style" w:hAnsi="Bookman Old Style" w:cs="Calibri"/>
          <w:bCs/>
          <w:sz w:val="24"/>
          <w:szCs w:val="24"/>
        </w:rPr>
        <w:t xml:space="preserve"> però per inciso evidenziato </w:t>
      </w:r>
      <w:r w:rsidRPr="001319E4">
        <w:rPr>
          <w:rFonts w:ascii="Bookman Old Style" w:hAnsi="Bookman Old Style" w:cs="Calibri"/>
          <w:bCs/>
          <w:sz w:val="24"/>
          <w:szCs w:val="24"/>
        </w:rPr>
        <w:t>che</w:t>
      </w:r>
      <w:r w:rsidR="00553885">
        <w:rPr>
          <w:rFonts w:ascii="Bookman Old Style" w:hAnsi="Bookman Old Style" w:cs="Calibri"/>
          <w:bCs/>
          <w:sz w:val="24"/>
          <w:szCs w:val="24"/>
        </w:rPr>
        <w:t xml:space="preserve"> </w:t>
      </w:r>
      <w:r w:rsidR="00B922BD" w:rsidRPr="001319E4">
        <w:rPr>
          <w:rFonts w:ascii="Bookman Old Style" w:hAnsi="Bookman Old Style" w:cs="Calibri"/>
          <w:bCs/>
          <w:sz w:val="24"/>
          <w:szCs w:val="24"/>
        </w:rPr>
        <w:t>il</w:t>
      </w:r>
      <w:r w:rsidR="00553885">
        <w:rPr>
          <w:rFonts w:ascii="Bookman Old Style" w:hAnsi="Bookman Old Style" w:cs="Calibri"/>
          <w:bCs/>
          <w:sz w:val="24"/>
          <w:szCs w:val="24"/>
        </w:rPr>
        <w:t xml:space="preserve"> combinato disposto della disciplina contenuta nel </w:t>
      </w:r>
      <w:r w:rsidR="00B922BD" w:rsidRPr="001319E4">
        <w:rPr>
          <w:rFonts w:ascii="Bookman Old Style" w:hAnsi="Bookman Old Style" w:cs="Calibri"/>
          <w:bCs/>
          <w:sz w:val="24"/>
          <w:szCs w:val="24"/>
        </w:rPr>
        <w:t xml:space="preserve"> </w:t>
      </w:r>
      <w:r w:rsidR="00C04E5C" w:rsidRPr="001319E4">
        <w:rPr>
          <w:rFonts w:ascii="Bookman Old Style" w:hAnsi="Bookman Old Style" w:cs="Calibri"/>
          <w:bCs/>
          <w:sz w:val="24"/>
          <w:szCs w:val="24"/>
        </w:rPr>
        <w:t>Decreto</w:t>
      </w:r>
      <w:r w:rsidR="00553885">
        <w:rPr>
          <w:rFonts w:ascii="Bookman Old Style" w:hAnsi="Bookman Old Style" w:cs="Calibri"/>
          <w:bCs/>
          <w:sz w:val="24"/>
          <w:szCs w:val="24"/>
        </w:rPr>
        <w:t xml:space="preserve"> e nella </w:t>
      </w:r>
      <w:r w:rsidR="00B922BD" w:rsidRPr="001319E4">
        <w:rPr>
          <w:rFonts w:ascii="Bookman Old Style" w:hAnsi="Bookman Old Style" w:cs="Calibri"/>
          <w:bCs/>
          <w:sz w:val="24"/>
          <w:szCs w:val="24"/>
        </w:rPr>
        <w:t>C</w:t>
      </w:r>
      <w:r w:rsidR="00CF323E" w:rsidRPr="001319E4">
        <w:rPr>
          <w:rFonts w:ascii="Bookman Old Style" w:hAnsi="Bookman Old Style" w:cs="Calibri"/>
          <w:bCs/>
          <w:sz w:val="24"/>
          <w:szCs w:val="24"/>
        </w:rPr>
        <w:t>ircolare</w:t>
      </w:r>
      <w:r w:rsidR="00553885">
        <w:rPr>
          <w:rFonts w:ascii="Bookman Old Style" w:hAnsi="Bookman Old Style" w:cs="Calibri"/>
          <w:bCs/>
          <w:sz w:val="24"/>
          <w:szCs w:val="24"/>
        </w:rPr>
        <w:t xml:space="preserve"> non considera </w:t>
      </w:r>
      <w:r w:rsidR="00CF323E" w:rsidRPr="001319E4">
        <w:rPr>
          <w:rFonts w:ascii="Bookman Old Style" w:hAnsi="Bookman Old Style" w:cs="Calibri"/>
          <w:bCs/>
          <w:sz w:val="24"/>
          <w:szCs w:val="24"/>
        </w:rPr>
        <w:t xml:space="preserve"> </w:t>
      </w:r>
      <w:r w:rsidR="00AC5962" w:rsidRPr="001319E4">
        <w:rPr>
          <w:rFonts w:ascii="Bookman Old Style" w:hAnsi="Bookman Old Style" w:cs="Calibri"/>
          <w:bCs/>
          <w:sz w:val="24"/>
          <w:szCs w:val="24"/>
        </w:rPr>
        <w:t>gli effetti su</w:t>
      </w:r>
      <w:r w:rsidRPr="001319E4">
        <w:rPr>
          <w:rFonts w:ascii="Bookman Old Style" w:hAnsi="Bookman Old Style" w:cs="Calibri"/>
          <w:bCs/>
          <w:sz w:val="24"/>
          <w:szCs w:val="24"/>
        </w:rPr>
        <w:t xml:space="preserve">lle assunzioni dei Comuni, </w:t>
      </w:r>
      <w:r w:rsidR="00553885">
        <w:rPr>
          <w:rFonts w:ascii="Bookman Old Style" w:hAnsi="Bookman Old Style" w:cs="Calibri"/>
          <w:bCs/>
          <w:sz w:val="24"/>
          <w:szCs w:val="24"/>
        </w:rPr>
        <w:t xml:space="preserve">prodotti </w:t>
      </w:r>
      <w:r w:rsidRPr="001319E4">
        <w:rPr>
          <w:rFonts w:ascii="Bookman Old Style" w:hAnsi="Bookman Old Style" w:cs="Calibri"/>
          <w:bCs/>
          <w:sz w:val="24"/>
          <w:szCs w:val="24"/>
        </w:rPr>
        <w:t>d</w:t>
      </w:r>
      <w:r w:rsidR="00553885">
        <w:rPr>
          <w:rFonts w:ascii="Bookman Old Style" w:hAnsi="Bookman Old Style" w:cs="Calibri"/>
          <w:bCs/>
          <w:sz w:val="24"/>
          <w:szCs w:val="24"/>
        </w:rPr>
        <w:t>a</w:t>
      </w:r>
      <w:r w:rsidRPr="001319E4">
        <w:rPr>
          <w:rFonts w:ascii="Bookman Old Style" w:hAnsi="Bookman Old Style" w:cs="Calibri"/>
          <w:bCs/>
          <w:sz w:val="24"/>
          <w:szCs w:val="24"/>
        </w:rPr>
        <w:t xml:space="preserve">ll’intervenuta </w:t>
      </w:r>
      <w:r w:rsidR="00AC5962" w:rsidRPr="001319E4">
        <w:rPr>
          <w:rFonts w:ascii="Bookman Old Style" w:hAnsi="Bookman Old Style" w:cs="Calibri"/>
          <w:bCs/>
          <w:sz w:val="24"/>
          <w:szCs w:val="24"/>
        </w:rPr>
        <w:t>emergenza determinata dalla pandemia da Covid-19</w:t>
      </w:r>
      <w:r w:rsidR="00553885">
        <w:rPr>
          <w:rFonts w:ascii="Bookman Old Style" w:hAnsi="Bookman Old Style" w:cs="Calibri"/>
          <w:bCs/>
          <w:sz w:val="24"/>
          <w:szCs w:val="24"/>
        </w:rPr>
        <w:t xml:space="preserve"> e quindi le eventuali implicazioni derivanti da questi effetti sul nuovo regime appena introdotto.</w:t>
      </w:r>
    </w:p>
    <w:p w14:paraId="41B2CF58" w14:textId="3C955629" w:rsidR="00A4180C" w:rsidRPr="001319E4" w:rsidRDefault="00074E36" w:rsidP="00A4180C">
      <w:pPr>
        <w:widowControl w:val="0"/>
        <w:shd w:val="clear" w:color="auto" w:fill="FFFFFF"/>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Dunque, s</w:t>
      </w:r>
      <w:r w:rsidR="0014254F" w:rsidRPr="001319E4">
        <w:rPr>
          <w:rFonts w:ascii="Bookman Old Style" w:hAnsi="Bookman Old Style" w:cs="Calibri"/>
          <w:bCs/>
          <w:color w:val="222222"/>
          <w:sz w:val="24"/>
          <w:szCs w:val="24"/>
        </w:rPr>
        <w:t xml:space="preserve">econdo la nuova disciplina, come chiarito dalla </w:t>
      </w:r>
      <w:r w:rsidRPr="001319E4">
        <w:rPr>
          <w:rFonts w:ascii="Bookman Old Style" w:hAnsi="Bookman Old Style" w:cs="Calibri"/>
          <w:bCs/>
          <w:color w:val="222222"/>
          <w:sz w:val="24"/>
          <w:szCs w:val="24"/>
        </w:rPr>
        <w:t xml:space="preserve">surrichiamata </w:t>
      </w:r>
      <w:r w:rsidR="0014254F" w:rsidRPr="001319E4">
        <w:rPr>
          <w:rFonts w:ascii="Bookman Old Style" w:hAnsi="Bookman Old Style" w:cs="Calibri"/>
          <w:bCs/>
          <w:color w:val="222222"/>
          <w:sz w:val="24"/>
          <w:szCs w:val="24"/>
        </w:rPr>
        <w:t>Circolare</w:t>
      </w:r>
      <w:r w:rsidR="006A7527" w:rsidRPr="001319E4">
        <w:rPr>
          <w:rFonts w:ascii="Bookman Old Style" w:hAnsi="Bookman Old Style" w:cs="Calibri"/>
          <w:bCs/>
          <w:color w:val="222222"/>
          <w:sz w:val="24"/>
          <w:szCs w:val="24"/>
        </w:rPr>
        <w:t xml:space="preserve">, </w:t>
      </w:r>
      <w:r w:rsidR="00A4180C" w:rsidRPr="001319E4">
        <w:rPr>
          <w:rFonts w:ascii="Bookman Old Style" w:hAnsi="Bookman Old Style" w:cs="Calibri"/>
          <w:b/>
          <w:color w:val="222222"/>
          <w:sz w:val="24"/>
          <w:szCs w:val="24"/>
        </w:rPr>
        <w:t>a decorrere</w:t>
      </w:r>
      <w:r w:rsidR="006A7527" w:rsidRPr="001319E4">
        <w:rPr>
          <w:rFonts w:ascii="Bookman Old Style" w:hAnsi="Bookman Old Style" w:cs="Calibri"/>
          <w:b/>
          <w:color w:val="222222"/>
          <w:sz w:val="24"/>
          <w:szCs w:val="24"/>
        </w:rPr>
        <w:t xml:space="preserve"> </w:t>
      </w:r>
      <w:r w:rsidR="00A4180C" w:rsidRPr="001319E4">
        <w:rPr>
          <w:rFonts w:ascii="Bookman Old Style" w:hAnsi="Bookman Old Style" w:cs="Calibri"/>
          <w:b/>
          <w:color w:val="222222"/>
          <w:sz w:val="24"/>
          <w:szCs w:val="24"/>
        </w:rPr>
        <w:t xml:space="preserve">dal </w:t>
      </w:r>
      <w:r w:rsidR="00A4180C" w:rsidRPr="001319E4">
        <w:rPr>
          <w:rFonts w:ascii="Bookman Old Style" w:hAnsi="Bookman Old Style" w:cs="Calibri"/>
          <w:b/>
          <w:i/>
          <w:color w:val="222222"/>
          <w:sz w:val="24"/>
          <w:szCs w:val="24"/>
          <w:u w:val="single"/>
        </w:rPr>
        <w:t>20 aprile 2020</w:t>
      </w:r>
      <w:r w:rsidR="00A4180C" w:rsidRPr="001319E4">
        <w:rPr>
          <w:rFonts w:ascii="Bookman Old Style" w:hAnsi="Bookman Old Style" w:cs="Calibri"/>
          <w:b/>
          <w:color w:val="222222"/>
          <w:sz w:val="24"/>
          <w:szCs w:val="24"/>
        </w:rPr>
        <w:t xml:space="preserve">, i Comuni possono effettuare assunzioni di personale a tempo indeterminato, nel limite di una spesa complessiva non superiore ad un valore soglia definito come percentuale, differenziata per fascia demografica, della media delle entrate correnti relative agli ultimi tre rendiconti approvati, considerate al netto del fondo crediti di dubbia esigibilità </w:t>
      </w:r>
      <w:r w:rsidR="00340B1F" w:rsidRPr="001319E4">
        <w:rPr>
          <w:rFonts w:ascii="Bookman Old Style" w:hAnsi="Bookman Old Style" w:cs="Calibri"/>
          <w:b/>
          <w:color w:val="222222"/>
          <w:sz w:val="24"/>
          <w:szCs w:val="24"/>
        </w:rPr>
        <w:t xml:space="preserve">assestato </w:t>
      </w:r>
      <w:r w:rsidR="00A4180C" w:rsidRPr="001319E4">
        <w:rPr>
          <w:rFonts w:ascii="Bookman Old Style" w:hAnsi="Bookman Old Style" w:cs="Calibri"/>
          <w:b/>
          <w:color w:val="222222"/>
          <w:sz w:val="24"/>
          <w:szCs w:val="24"/>
        </w:rPr>
        <w:t>in bilancio di previsione</w:t>
      </w:r>
      <w:r w:rsidR="00340B1F" w:rsidRPr="001319E4">
        <w:rPr>
          <w:rFonts w:ascii="Bookman Old Style" w:hAnsi="Bookman Old Style" w:cs="Calibri"/>
          <w:b/>
          <w:color w:val="222222"/>
          <w:sz w:val="24"/>
          <w:szCs w:val="24"/>
        </w:rPr>
        <w:t xml:space="preserve"> (si veda, in proposito, </w:t>
      </w:r>
      <w:r w:rsidR="001130B6" w:rsidRPr="001319E4">
        <w:rPr>
          <w:rFonts w:ascii="Bookman Old Style" w:hAnsi="Bookman Old Style" w:cs="Calibri"/>
          <w:b/>
          <w:color w:val="222222"/>
          <w:sz w:val="24"/>
          <w:szCs w:val="24"/>
        </w:rPr>
        <w:t>anche il parere emesso con delibera n. 111 del 2020 dalla Corte dei conti sezione regionale per il controllo della Campania)</w:t>
      </w:r>
      <w:r w:rsidR="00A4180C" w:rsidRPr="001319E4">
        <w:rPr>
          <w:rFonts w:ascii="Bookman Old Style" w:hAnsi="Bookman Old Style" w:cs="Calibri"/>
          <w:bCs/>
          <w:color w:val="222222"/>
          <w:sz w:val="24"/>
          <w:szCs w:val="24"/>
        </w:rPr>
        <w:t>, nonché nel rispetto di una percentuale massima di incremento annuale della spesa di personale.</w:t>
      </w:r>
    </w:p>
    <w:p w14:paraId="617DDA0A" w14:textId="77777777" w:rsidR="00553885" w:rsidRDefault="00974EA1" w:rsidP="00E52F7C">
      <w:pPr>
        <w:jc w:val="both"/>
        <w:rPr>
          <w:rFonts w:ascii="Bookman Old Style" w:hAnsi="Bookman Old Style" w:cs="Calibri"/>
          <w:bCs/>
          <w:sz w:val="24"/>
          <w:szCs w:val="24"/>
        </w:rPr>
      </w:pPr>
      <w:r w:rsidRPr="001319E4">
        <w:rPr>
          <w:rFonts w:ascii="Bookman Old Style" w:hAnsi="Bookman Old Style" w:cs="Calibri"/>
          <w:bCs/>
          <w:sz w:val="24"/>
          <w:szCs w:val="24"/>
        </w:rPr>
        <w:t>È</w:t>
      </w:r>
      <w:r w:rsidR="00466D9D" w:rsidRPr="001319E4">
        <w:rPr>
          <w:rFonts w:ascii="Bookman Old Style" w:hAnsi="Bookman Old Style" w:cs="Calibri"/>
          <w:bCs/>
          <w:sz w:val="24"/>
          <w:szCs w:val="24"/>
        </w:rPr>
        <w:t xml:space="preserve"> </w:t>
      </w:r>
      <w:r w:rsidR="00F674B1" w:rsidRPr="001319E4">
        <w:rPr>
          <w:rFonts w:ascii="Bookman Old Style" w:hAnsi="Bookman Old Style" w:cs="Calibri"/>
          <w:bCs/>
          <w:sz w:val="24"/>
          <w:szCs w:val="24"/>
        </w:rPr>
        <w:t xml:space="preserve">evidente come ai fini della determinazione della capacità assunzionale dei Comuni assumano fondamentale rilevanza le voci </w:t>
      </w:r>
      <w:r w:rsidR="00466D9D" w:rsidRPr="001319E4">
        <w:rPr>
          <w:rFonts w:ascii="Bookman Old Style" w:hAnsi="Bookman Old Style" w:cs="Calibri"/>
          <w:bCs/>
          <w:sz w:val="24"/>
          <w:szCs w:val="24"/>
        </w:rPr>
        <w:t xml:space="preserve">di spesa e di entrata che contribuiscono a determinare il rapporto. </w:t>
      </w:r>
    </w:p>
    <w:p w14:paraId="009C6D10" w14:textId="59CDD907" w:rsidR="005D00E6" w:rsidRDefault="005D00E6" w:rsidP="30728479">
      <w:pPr>
        <w:jc w:val="both"/>
        <w:rPr>
          <w:rFonts w:ascii="Bookman Old Style" w:hAnsi="Bookman Old Style" w:cs="Calibri"/>
          <w:sz w:val="24"/>
          <w:szCs w:val="24"/>
        </w:rPr>
      </w:pPr>
      <w:r w:rsidRPr="30728479">
        <w:rPr>
          <w:rFonts w:ascii="Bookman Old Style" w:hAnsi="Bookman Old Style" w:cs="Calibri"/>
          <w:sz w:val="24"/>
          <w:szCs w:val="24"/>
        </w:rPr>
        <w:t xml:space="preserve">L’elaborazione del Decreto e della relativa Circolare è stata oggetto di un lungo e complesso confronto fra Dicasteri interessati ed ANCI, confronto che ha consentito di superare alcune delle  criticità contenute nella norma del </w:t>
      </w:r>
      <w:r w:rsidR="155D11AE" w:rsidRPr="30728479">
        <w:rPr>
          <w:rFonts w:ascii="Bookman Old Style" w:hAnsi="Bookman Old Style" w:cs="Calibri"/>
          <w:sz w:val="24"/>
          <w:szCs w:val="24"/>
        </w:rPr>
        <w:t>D.L. n</w:t>
      </w:r>
      <w:r w:rsidRPr="30728479">
        <w:rPr>
          <w:rFonts w:ascii="Bookman Old Style" w:hAnsi="Bookman Old Style" w:cs="Calibri"/>
          <w:sz w:val="24"/>
          <w:szCs w:val="24"/>
        </w:rPr>
        <w:t>.34/2019, ma altre criticità ad avviso dell’ANCI permangono.</w:t>
      </w:r>
    </w:p>
    <w:p w14:paraId="0D434C90" w14:textId="30C31D64" w:rsidR="00E52F7C" w:rsidRPr="001319E4" w:rsidRDefault="005D00E6" w:rsidP="30728479">
      <w:pPr>
        <w:jc w:val="both"/>
        <w:rPr>
          <w:rFonts w:ascii="Bookman Old Style" w:hAnsi="Bookman Old Style" w:cs="Calibri"/>
          <w:sz w:val="24"/>
          <w:szCs w:val="24"/>
        </w:rPr>
      </w:pPr>
      <w:r w:rsidRPr="30728479">
        <w:rPr>
          <w:rFonts w:ascii="Bookman Old Style" w:hAnsi="Bookman Old Style" w:cs="Calibri"/>
          <w:sz w:val="24"/>
          <w:szCs w:val="24"/>
        </w:rPr>
        <w:t xml:space="preserve"> In particolare, in considerazione della centralità del rapporto che sta alla base del calcolo della capacità assunzionale, ANCI</w:t>
      </w:r>
      <w:r w:rsidR="00F965D8" w:rsidRPr="30728479">
        <w:rPr>
          <w:rFonts w:ascii="Bookman Old Style" w:hAnsi="Bookman Old Style" w:cs="Calibri"/>
          <w:sz w:val="24"/>
          <w:szCs w:val="24"/>
        </w:rPr>
        <w:t xml:space="preserve"> ai fini della determinazione dell’aggregato “spesa di personale”</w:t>
      </w:r>
      <w:r w:rsidRPr="30728479">
        <w:rPr>
          <w:rFonts w:ascii="Bookman Old Style" w:hAnsi="Bookman Old Style" w:cs="Calibri"/>
          <w:sz w:val="24"/>
          <w:szCs w:val="24"/>
        </w:rPr>
        <w:t xml:space="preserve"> h</w:t>
      </w:r>
      <w:r w:rsidR="00074E36" w:rsidRPr="30728479">
        <w:rPr>
          <w:rFonts w:ascii="Bookman Old Style" w:hAnsi="Bookman Old Style" w:cs="Calibri"/>
          <w:sz w:val="24"/>
          <w:szCs w:val="24"/>
        </w:rPr>
        <w:t xml:space="preserve">a </w:t>
      </w:r>
      <w:r w:rsidR="004A2B23" w:rsidRPr="30728479">
        <w:rPr>
          <w:rFonts w:ascii="Bookman Old Style" w:hAnsi="Bookman Old Style" w:cs="Calibri"/>
          <w:sz w:val="24"/>
          <w:szCs w:val="24"/>
        </w:rPr>
        <w:t xml:space="preserve">chiesto di </w:t>
      </w:r>
      <w:r w:rsidR="00E52F7C" w:rsidRPr="30728479">
        <w:rPr>
          <w:rFonts w:ascii="Bookman Old Style" w:hAnsi="Bookman Old Style" w:cs="Calibri"/>
          <w:sz w:val="24"/>
          <w:szCs w:val="24"/>
        </w:rPr>
        <w:t xml:space="preserve">dare continuità agli orientamenti contenuti nella </w:t>
      </w:r>
      <w:r w:rsidR="5A052BAB" w:rsidRPr="30728479">
        <w:rPr>
          <w:rFonts w:ascii="Bookman Old Style" w:hAnsi="Bookman Old Style" w:cs="Calibri"/>
          <w:sz w:val="24"/>
          <w:szCs w:val="24"/>
        </w:rPr>
        <w:t>C</w:t>
      </w:r>
      <w:r w:rsidR="00E52F7C" w:rsidRPr="30728479">
        <w:rPr>
          <w:rFonts w:ascii="Bookman Old Style" w:hAnsi="Bookman Old Style" w:cs="Calibri"/>
          <w:sz w:val="24"/>
          <w:szCs w:val="24"/>
        </w:rPr>
        <w:t xml:space="preserve">ircolare n.9/2006 della RGS e nella delibera n.13/2015 della Corte dei Conti, Sezione Autonomie, </w:t>
      </w:r>
      <w:r w:rsidR="009F324F" w:rsidRPr="30728479">
        <w:rPr>
          <w:rFonts w:ascii="Bookman Old Style" w:hAnsi="Bookman Old Style" w:cs="Calibri"/>
          <w:sz w:val="24"/>
          <w:szCs w:val="24"/>
        </w:rPr>
        <w:t>prevedendo espressamente</w:t>
      </w:r>
      <w:r w:rsidR="00E52F7C" w:rsidRPr="30728479">
        <w:rPr>
          <w:rFonts w:ascii="Bookman Old Style" w:hAnsi="Bookman Old Style" w:cs="Calibri"/>
          <w:sz w:val="24"/>
          <w:szCs w:val="24"/>
        </w:rPr>
        <w:t xml:space="preserve"> l’esclusione dal rapporto delle voci di spesa che hanno effetti neutri ai fini della sostenibilità finanziaria, quali ad esempio: spesa di personale etero-finanziato, con finanziamenti comunitari o privati; LSU; rimborso al Comune capofila in caso di convenzione di segreteria; spesa per lavoro straordinario e altri oneri di personale direttamente connessi all’attività elettorale con rimborso dal Ministero dell’interno; spese sostenute per il personale comandato presso altre amministrazioni per le quali è previsto il </w:t>
      </w:r>
      <w:r w:rsidR="00E52F7C" w:rsidRPr="30728479">
        <w:rPr>
          <w:rFonts w:ascii="Bookman Old Style" w:hAnsi="Bookman Old Style" w:cs="Calibri"/>
          <w:sz w:val="24"/>
          <w:szCs w:val="24"/>
        </w:rPr>
        <w:lastRenderedPageBreak/>
        <w:t>rimborso dalle amministrazioni utilizzatrici; spese finanziate con quote di proventi per violazioni al codice della strada.</w:t>
      </w:r>
    </w:p>
    <w:p w14:paraId="69DCF877" w14:textId="7D1E0FE0" w:rsidR="00E52F7C" w:rsidRPr="001319E4" w:rsidRDefault="00E52F7C" w:rsidP="30728479">
      <w:pPr>
        <w:widowControl w:val="0"/>
        <w:shd w:val="clear" w:color="auto" w:fill="FFFFFF" w:themeFill="background1"/>
        <w:spacing w:after="120"/>
        <w:jc w:val="both"/>
        <w:rPr>
          <w:rFonts w:ascii="Bookman Old Style" w:hAnsi="Bookman Old Style" w:cs="Calibri"/>
          <w:sz w:val="24"/>
          <w:szCs w:val="24"/>
        </w:rPr>
      </w:pPr>
      <w:r w:rsidRPr="30728479">
        <w:rPr>
          <w:rFonts w:ascii="Bookman Old Style" w:hAnsi="Bookman Old Style" w:cs="Calibri"/>
          <w:sz w:val="24"/>
          <w:szCs w:val="24"/>
        </w:rPr>
        <w:t xml:space="preserve">L’ANCI </w:t>
      </w:r>
      <w:r w:rsidR="00AC445E" w:rsidRPr="30728479">
        <w:rPr>
          <w:rFonts w:ascii="Bookman Old Style" w:hAnsi="Bookman Old Style" w:cs="Calibri"/>
          <w:sz w:val="24"/>
          <w:szCs w:val="24"/>
        </w:rPr>
        <w:t>inoltre</w:t>
      </w:r>
      <w:r w:rsidRPr="30728479">
        <w:rPr>
          <w:rFonts w:ascii="Bookman Old Style" w:hAnsi="Bookman Old Style" w:cs="Calibri"/>
          <w:sz w:val="24"/>
          <w:szCs w:val="24"/>
        </w:rPr>
        <w:t xml:space="preserve"> </w:t>
      </w:r>
      <w:r w:rsidR="005D00E6" w:rsidRPr="30728479">
        <w:rPr>
          <w:rFonts w:ascii="Bookman Old Style" w:hAnsi="Bookman Old Style" w:cs="Calibri"/>
          <w:sz w:val="24"/>
          <w:szCs w:val="24"/>
        </w:rPr>
        <w:t>ha</w:t>
      </w:r>
      <w:r w:rsidR="00074E36" w:rsidRPr="30728479">
        <w:rPr>
          <w:rFonts w:ascii="Bookman Old Style" w:hAnsi="Bookman Old Style" w:cs="Calibri"/>
          <w:sz w:val="24"/>
          <w:szCs w:val="24"/>
        </w:rPr>
        <w:t xml:space="preserve"> richiesto </w:t>
      </w:r>
      <w:r w:rsidRPr="30728479">
        <w:rPr>
          <w:rFonts w:ascii="Bookman Old Style" w:hAnsi="Bookman Old Style" w:cs="Calibri"/>
          <w:sz w:val="24"/>
          <w:szCs w:val="24"/>
        </w:rPr>
        <w:t>di escludere dal calcolo della spesa anche gli oneri per i rinnovi contrattuali, in continuità con la disciplina di cui all’articolo 1</w:t>
      </w:r>
      <w:r w:rsidR="00974EA1" w:rsidRPr="30728479">
        <w:rPr>
          <w:rFonts w:ascii="Bookman Old Style" w:hAnsi="Bookman Old Style" w:cs="Calibri"/>
          <w:sz w:val="24"/>
          <w:szCs w:val="24"/>
        </w:rPr>
        <w:t>,</w:t>
      </w:r>
      <w:r w:rsidRPr="30728479">
        <w:rPr>
          <w:rFonts w:ascii="Bookman Old Style" w:hAnsi="Bookman Old Style" w:cs="Calibri"/>
          <w:sz w:val="24"/>
          <w:szCs w:val="24"/>
        </w:rPr>
        <w:t xml:space="preserve"> comma 557 della legge n.</w:t>
      </w:r>
      <w:r w:rsidR="32C531F6" w:rsidRPr="30728479">
        <w:rPr>
          <w:rFonts w:ascii="Bookman Old Style" w:hAnsi="Bookman Old Style" w:cs="Calibri"/>
          <w:sz w:val="24"/>
          <w:szCs w:val="24"/>
        </w:rPr>
        <w:t xml:space="preserve"> </w:t>
      </w:r>
      <w:r w:rsidRPr="30728479">
        <w:rPr>
          <w:rFonts w:ascii="Bookman Old Style" w:hAnsi="Bookman Old Style" w:cs="Calibri"/>
          <w:sz w:val="24"/>
          <w:szCs w:val="24"/>
        </w:rPr>
        <w:t>296/2006, e le spese per il personale appartenente alle categorie protette, nel limite della quota d’obbligo, che sono giustificate da una specifica esigenza di politica nazionale di inclusione.</w:t>
      </w:r>
    </w:p>
    <w:p w14:paraId="5D98730E" w14:textId="3245B446" w:rsidR="004F4B3F" w:rsidRDefault="00AC445E" w:rsidP="30728479">
      <w:pPr>
        <w:widowControl w:val="0"/>
        <w:shd w:val="clear" w:color="auto" w:fill="FFFFFF" w:themeFill="background1"/>
        <w:spacing w:after="120"/>
        <w:jc w:val="both"/>
        <w:rPr>
          <w:rFonts w:ascii="Bookman Old Style" w:hAnsi="Bookman Old Style" w:cs="Calibri"/>
          <w:sz w:val="24"/>
          <w:szCs w:val="24"/>
        </w:rPr>
      </w:pPr>
      <w:r w:rsidRPr="30728479">
        <w:rPr>
          <w:rFonts w:ascii="Bookman Old Style" w:hAnsi="Bookman Old Style" w:cs="Calibri"/>
          <w:sz w:val="24"/>
          <w:szCs w:val="24"/>
        </w:rPr>
        <w:t xml:space="preserve">Tali richieste non hanno trovato </w:t>
      </w:r>
      <w:r w:rsidR="00E4187B" w:rsidRPr="30728479">
        <w:rPr>
          <w:rFonts w:ascii="Bookman Old Style" w:hAnsi="Bookman Old Style" w:cs="Calibri"/>
          <w:sz w:val="24"/>
          <w:szCs w:val="24"/>
        </w:rPr>
        <w:t>riscontro</w:t>
      </w:r>
      <w:r w:rsidR="004F4B3F" w:rsidRPr="30728479">
        <w:rPr>
          <w:rFonts w:ascii="Bookman Old Style" w:hAnsi="Bookman Old Style" w:cs="Calibri"/>
          <w:sz w:val="24"/>
          <w:szCs w:val="24"/>
        </w:rPr>
        <w:t xml:space="preserve"> e siamo impegnati a monitorare </w:t>
      </w:r>
      <w:r w:rsidR="52A2D56F" w:rsidRPr="30728479">
        <w:rPr>
          <w:rFonts w:ascii="Bookman Old Style" w:hAnsi="Bookman Old Style" w:cs="Calibri"/>
          <w:sz w:val="24"/>
          <w:szCs w:val="24"/>
        </w:rPr>
        <w:t>l’</w:t>
      </w:r>
      <w:r w:rsidR="004F4B3F" w:rsidRPr="30728479">
        <w:rPr>
          <w:rFonts w:ascii="Bookman Old Style" w:hAnsi="Bookman Old Style" w:cs="Calibri"/>
          <w:sz w:val="24"/>
          <w:szCs w:val="24"/>
        </w:rPr>
        <w:t>attuazione del nuovo regime ed assumeremo ogni iniziativa necessaria ad assicurare ai Comuni i margini di flessibilità necessaria per f</w:t>
      </w:r>
      <w:r w:rsidR="7F7C0A4D" w:rsidRPr="30728479">
        <w:rPr>
          <w:rFonts w:ascii="Bookman Old Style" w:hAnsi="Bookman Old Style" w:cs="Calibri"/>
          <w:sz w:val="24"/>
          <w:szCs w:val="24"/>
        </w:rPr>
        <w:t>ar</w:t>
      </w:r>
      <w:r w:rsidR="004F4B3F" w:rsidRPr="30728479">
        <w:rPr>
          <w:rFonts w:ascii="Bookman Old Style" w:hAnsi="Bookman Old Style" w:cs="Calibri"/>
          <w:sz w:val="24"/>
          <w:szCs w:val="24"/>
        </w:rPr>
        <w:t xml:space="preserve"> fronte alle proprie attività amministrative ed istituzionali ancor di più in una fase dell’Italia in cui tutti i livelli della Repubblica sono chiamati ad uno sforzo straordinario.</w:t>
      </w:r>
    </w:p>
    <w:p w14:paraId="581DBAAA" w14:textId="3DB1AC36" w:rsidR="00A4180C" w:rsidRPr="004F4B3F" w:rsidRDefault="004F4B3F" w:rsidP="30728479">
      <w:pPr>
        <w:widowControl w:val="0"/>
        <w:shd w:val="clear" w:color="auto" w:fill="FFFFFF" w:themeFill="background1"/>
        <w:spacing w:after="120"/>
        <w:jc w:val="both"/>
        <w:rPr>
          <w:rFonts w:ascii="Bookman Old Style" w:hAnsi="Bookman Old Style" w:cs="Calibri"/>
          <w:color w:val="FF0000"/>
          <w:sz w:val="24"/>
          <w:szCs w:val="24"/>
          <w:u w:val="single"/>
        </w:rPr>
      </w:pPr>
      <w:r w:rsidRPr="30728479">
        <w:rPr>
          <w:rFonts w:ascii="Bookman Old Style" w:hAnsi="Bookman Old Style" w:cs="Calibri"/>
          <w:sz w:val="24"/>
          <w:szCs w:val="24"/>
          <w:u w:val="single"/>
        </w:rPr>
        <w:t xml:space="preserve">Il nuovo regime assunzionale articola il </w:t>
      </w:r>
      <w:r w:rsidR="17C61007" w:rsidRPr="30728479">
        <w:rPr>
          <w:rFonts w:ascii="Bookman Old Style" w:hAnsi="Bookman Old Style" w:cs="Calibri"/>
          <w:sz w:val="24"/>
          <w:szCs w:val="24"/>
          <w:u w:val="single"/>
        </w:rPr>
        <w:t>c</w:t>
      </w:r>
      <w:r w:rsidRPr="30728479">
        <w:rPr>
          <w:rFonts w:ascii="Bookman Old Style" w:hAnsi="Bookman Old Style" w:cs="Calibri"/>
          <w:sz w:val="24"/>
          <w:szCs w:val="24"/>
          <w:u w:val="single"/>
        </w:rPr>
        <w:t xml:space="preserve">omparto dei Comuni </w:t>
      </w:r>
      <w:r w:rsidR="00074E36" w:rsidRPr="30728479">
        <w:rPr>
          <w:rFonts w:ascii="Bookman Old Style" w:hAnsi="Bookman Old Style" w:cs="Calibri"/>
          <w:sz w:val="24"/>
          <w:szCs w:val="24"/>
          <w:u w:val="single"/>
        </w:rPr>
        <w:t xml:space="preserve"> </w:t>
      </w:r>
      <w:r w:rsidR="00074E36" w:rsidRPr="30728479">
        <w:rPr>
          <w:rFonts w:ascii="Bookman Old Style" w:hAnsi="Bookman Old Style" w:cs="Calibri"/>
          <w:color w:val="222222"/>
          <w:sz w:val="24"/>
          <w:szCs w:val="24"/>
          <w:u w:val="single"/>
        </w:rPr>
        <w:t xml:space="preserve"> sulla base dei parametri di sostenibilità finanziaria </w:t>
      </w:r>
      <w:r w:rsidRPr="30728479">
        <w:rPr>
          <w:rFonts w:ascii="Bookman Old Style" w:hAnsi="Bookman Old Style" w:cs="Calibri"/>
          <w:color w:val="222222"/>
          <w:sz w:val="24"/>
          <w:szCs w:val="24"/>
          <w:u w:val="single"/>
        </w:rPr>
        <w:t>in</w:t>
      </w:r>
      <w:r w:rsidR="00074E36" w:rsidRPr="30728479">
        <w:rPr>
          <w:rFonts w:ascii="Bookman Old Style" w:hAnsi="Bookman Old Style" w:cs="Calibri"/>
          <w:color w:val="222222"/>
          <w:sz w:val="24"/>
          <w:szCs w:val="24"/>
          <w:u w:val="single"/>
        </w:rPr>
        <w:t xml:space="preserve"> </w:t>
      </w:r>
      <w:r w:rsidR="00A4180C" w:rsidRPr="30728479">
        <w:rPr>
          <w:rFonts w:ascii="Bookman Old Style" w:hAnsi="Bookman Old Style" w:cs="Calibri"/>
          <w:color w:val="222222"/>
          <w:sz w:val="24"/>
          <w:szCs w:val="24"/>
          <w:u w:val="single"/>
        </w:rPr>
        <w:t>tre distinte fattispecie:</w:t>
      </w:r>
    </w:p>
    <w:p w14:paraId="078F0286" w14:textId="24AB20F1" w:rsidR="00A4180C" w:rsidRPr="001319E4" w:rsidRDefault="00AA5E01" w:rsidP="00A4180C">
      <w:pPr>
        <w:pStyle w:val="Paragrafoelenco"/>
        <w:widowControl w:val="0"/>
        <w:numPr>
          <w:ilvl w:val="0"/>
          <w:numId w:val="29"/>
        </w:numPr>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
          <w:color w:val="222222"/>
          <w:sz w:val="24"/>
          <w:szCs w:val="24"/>
          <w:u w:val="single"/>
        </w:rPr>
        <w:t>C</w:t>
      </w:r>
      <w:r w:rsidR="00A4180C" w:rsidRPr="001319E4">
        <w:rPr>
          <w:rFonts w:ascii="Bookman Old Style" w:hAnsi="Bookman Old Style" w:cs="Calibri"/>
          <w:b/>
          <w:color w:val="222222"/>
          <w:sz w:val="24"/>
          <w:szCs w:val="24"/>
          <w:u w:val="single"/>
        </w:rPr>
        <w:t>omuni con una incidenza della spesa di personale sulle entrate correnti bassa</w:t>
      </w:r>
      <w:r w:rsidR="00A4180C" w:rsidRPr="001319E4">
        <w:rPr>
          <w:rFonts w:ascii="Bookman Old Style" w:hAnsi="Bookman Old Style" w:cs="Calibri"/>
          <w:bCs/>
          <w:color w:val="222222"/>
          <w:sz w:val="24"/>
          <w:szCs w:val="24"/>
        </w:rPr>
        <w:t>, che possono utilizzare le percentuali di crescita annuale della spesa di personale per maggiori assunzioni a tempo indeterminato;</w:t>
      </w:r>
    </w:p>
    <w:p w14:paraId="14607E56" w14:textId="541B7C91" w:rsidR="00A4180C" w:rsidRPr="001319E4" w:rsidRDefault="00AA5E01" w:rsidP="00A4180C">
      <w:pPr>
        <w:pStyle w:val="Paragrafoelenco"/>
        <w:widowControl w:val="0"/>
        <w:numPr>
          <w:ilvl w:val="0"/>
          <w:numId w:val="29"/>
        </w:numPr>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
          <w:color w:val="222222"/>
          <w:sz w:val="24"/>
          <w:szCs w:val="24"/>
          <w:u w:val="single"/>
        </w:rPr>
        <w:t>C</w:t>
      </w:r>
      <w:r w:rsidR="00A4180C" w:rsidRPr="001319E4">
        <w:rPr>
          <w:rFonts w:ascii="Bookman Old Style" w:hAnsi="Bookman Old Style" w:cs="Calibri"/>
          <w:b/>
          <w:color w:val="222222"/>
          <w:sz w:val="24"/>
          <w:szCs w:val="24"/>
          <w:u w:val="single"/>
        </w:rPr>
        <w:t>omuni con una incidenza della spesa di personale sulle entrate correnti</w:t>
      </w:r>
      <w:r w:rsidR="00A4180C" w:rsidRPr="001319E4">
        <w:rPr>
          <w:rFonts w:ascii="Bookman Old Style" w:hAnsi="Bookman Old Style" w:cs="Calibri"/>
          <w:bCs/>
          <w:color w:val="222222"/>
          <w:sz w:val="24"/>
          <w:szCs w:val="24"/>
          <w:u w:val="single"/>
        </w:rPr>
        <w:t xml:space="preserve"> </w:t>
      </w:r>
      <w:r w:rsidR="00A4180C" w:rsidRPr="001319E4">
        <w:rPr>
          <w:rFonts w:ascii="Bookman Old Style" w:hAnsi="Bookman Old Style" w:cs="Calibri"/>
          <w:b/>
          <w:color w:val="222222"/>
          <w:sz w:val="24"/>
          <w:szCs w:val="24"/>
          <w:u w:val="single"/>
        </w:rPr>
        <w:t>intermedia</w:t>
      </w:r>
      <w:r w:rsidR="00A4180C" w:rsidRPr="001319E4">
        <w:rPr>
          <w:rFonts w:ascii="Bookman Old Style" w:hAnsi="Bookman Old Style" w:cs="Calibri"/>
          <w:bCs/>
          <w:color w:val="222222"/>
          <w:sz w:val="24"/>
          <w:szCs w:val="24"/>
        </w:rPr>
        <w:t>, che devono fare attenzione a non peggiorare il valore di tale incidenza;</w:t>
      </w:r>
    </w:p>
    <w:p w14:paraId="54DB70CC" w14:textId="3D6AEC16" w:rsidR="00A4180C" w:rsidRDefault="00AA5E01" w:rsidP="00A4180C">
      <w:pPr>
        <w:pStyle w:val="Paragrafoelenco"/>
        <w:widowControl w:val="0"/>
        <w:numPr>
          <w:ilvl w:val="0"/>
          <w:numId w:val="29"/>
        </w:numPr>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
          <w:color w:val="222222"/>
          <w:sz w:val="24"/>
          <w:szCs w:val="24"/>
          <w:u w:val="single"/>
        </w:rPr>
        <w:t>C</w:t>
      </w:r>
      <w:r w:rsidR="00A4180C" w:rsidRPr="001319E4">
        <w:rPr>
          <w:rFonts w:ascii="Bookman Old Style" w:hAnsi="Bookman Old Style" w:cs="Calibri"/>
          <w:b/>
          <w:color w:val="222222"/>
          <w:sz w:val="24"/>
          <w:szCs w:val="24"/>
          <w:u w:val="single"/>
        </w:rPr>
        <w:t>omuni con una incidenza della spesa di personale sulle entrate correnti</w:t>
      </w:r>
      <w:r w:rsidR="00A4180C" w:rsidRPr="001319E4">
        <w:rPr>
          <w:rFonts w:ascii="Bookman Old Style" w:hAnsi="Bookman Old Style" w:cs="Calibri"/>
          <w:bCs/>
          <w:color w:val="222222"/>
          <w:sz w:val="24"/>
          <w:szCs w:val="24"/>
          <w:u w:val="single"/>
        </w:rPr>
        <w:t xml:space="preserve"> </w:t>
      </w:r>
      <w:r w:rsidR="00A4180C" w:rsidRPr="001319E4">
        <w:rPr>
          <w:rFonts w:ascii="Bookman Old Style" w:hAnsi="Bookman Old Style" w:cs="Calibri"/>
          <w:b/>
          <w:color w:val="222222"/>
          <w:sz w:val="24"/>
          <w:szCs w:val="24"/>
          <w:u w:val="single"/>
        </w:rPr>
        <w:t>elevata</w:t>
      </w:r>
      <w:r w:rsidR="00A4180C" w:rsidRPr="001319E4">
        <w:rPr>
          <w:rFonts w:ascii="Bookman Old Style" w:hAnsi="Bookman Old Style" w:cs="Calibri"/>
          <w:bCs/>
          <w:color w:val="222222"/>
          <w:sz w:val="24"/>
          <w:szCs w:val="24"/>
        </w:rPr>
        <w:t>, che devono attuare politiche di contenimento della spesa di personale in relazione alle entrate correnti.</w:t>
      </w:r>
    </w:p>
    <w:p w14:paraId="49EFC9EE" w14:textId="77777777" w:rsidR="00055625" w:rsidRPr="001319E4" w:rsidRDefault="00055625" w:rsidP="00055625">
      <w:pPr>
        <w:pStyle w:val="Paragrafoelenco"/>
        <w:widowControl w:val="0"/>
        <w:shd w:val="clear" w:color="auto" w:fill="FFFFFF"/>
        <w:suppressAutoHyphens w:val="0"/>
        <w:spacing w:after="120"/>
        <w:jc w:val="both"/>
        <w:rPr>
          <w:rFonts w:ascii="Bookman Old Style" w:hAnsi="Bookman Old Style" w:cs="Calibri"/>
          <w:bCs/>
          <w:color w:val="222222"/>
          <w:sz w:val="24"/>
          <w:szCs w:val="24"/>
        </w:rPr>
      </w:pPr>
    </w:p>
    <w:p w14:paraId="23371CB1" w14:textId="0A117382" w:rsidR="002E4354" w:rsidRPr="00020A7C" w:rsidRDefault="006D7340" w:rsidP="00E50B14">
      <w:pPr>
        <w:pStyle w:val="Paragrafoelenco"/>
        <w:widowControl w:val="0"/>
        <w:numPr>
          <w:ilvl w:val="0"/>
          <w:numId w:val="5"/>
        </w:numPr>
        <w:shd w:val="clear" w:color="auto" w:fill="FFFFFF"/>
        <w:spacing w:after="120"/>
        <w:jc w:val="both"/>
        <w:rPr>
          <w:rFonts w:ascii="Bookman Old Style" w:hAnsi="Bookman Old Style" w:cs="Calibri"/>
          <w:b/>
          <w:color w:val="222222"/>
          <w:sz w:val="24"/>
          <w:szCs w:val="24"/>
          <w:u w:val="single"/>
        </w:rPr>
      </w:pPr>
      <w:r w:rsidRPr="00020A7C">
        <w:rPr>
          <w:rFonts w:ascii="Bookman Old Style" w:hAnsi="Bookman Old Style" w:cs="Calibri"/>
          <w:b/>
          <w:color w:val="222222"/>
          <w:sz w:val="24"/>
          <w:szCs w:val="24"/>
          <w:u w:val="single"/>
        </w:rPr>
        <w:t xml:space="preserve">I contenuti </w:t>
      </w:r>
      <w:r w:rsidR="002E4354" w:rsidRPr="00020A7C">
        <w:rPr>
          <w:rFonts w:ascii="Bookman Old Style" w:hAnsi="Bookman Old Style" w:cs="Calibri"/>
          <w:b/>
          <w:color w:val="222222"/>
          <w:sz w:val="24"/>
          <w:szCs w:val="24"/>
          <w:u w:val="single"/>
        </w:rPr>
        <w:t xml:space="preserve">del Decreto </w:t>
      </w:r>
      <w:r w:rsidR="00411CC3" w:rsidRPr="00020A7C">
        <w:rPr>
          <w:rFonts w:ascii="Bookman Old Style" w:hAnsi="Bookman Old Style" w:cs="Calibri"/>
          <w:b/>
          <w:color w:val="222222"/>
          <w:sz w:val="24"/>
          <w:szCs w:val="24"/>
          <w:u w:val="single"/>
        </w:rPr>
        <w:t>e della Circolare</w:t>
      </w:r>
    </w:p>
    <w:p w14:paraId="6598AA5D" w14:textId="0453F631" w:rsidR="00AE48BD" w:rsidRPr="004F4B3F" w:rsidRDefault="006D7340" w:rsidP="00C656B0">
      <w:pPr>
        <w:jc w:val="both"/>
        <w:rPr>
          <w:rFonts w:ascii="Bookman Old Style" w:hAnsi="Bookman Old Style" w:cs="Calibri"/>
          <w:b/>
          <w:color w:val="222222"/>
          <w:sz w:val="24"/>
          <w:szCs w:val="24"/>
          <w:u w:val="single"/>
        </w:rPr>
      </w:pPr>
      <w:bookmarkStart w:id="1" w:name="_Hlk26454112"/>
      <w:bookmarkStart w:id="2" w:name="_Hlk51679226"/>
      <w:r w:rsidRPr="004F4B3F">
        <w:rPr>
          <w:rFonts w:ascii="Bookman Old Style" w:hAnsi="Bookman Old Style" w:cs="Calibri"/>
          <w:bCs/>
          <w:color w:val="222222"/>
          <w:sz w:val="24"/>
          <w:szCs w:val="24"/>
          <w:u w:val="single"/>
        </w:rPr>
        <w:t>La Decorrenza della nuova disciplina</w:t>
      </w:r>
      <w:r w:rsidR="00362E48" w:rsidRPr="004F4B3F">
        <w:rPr>
          <w:rFonts w:ascii="Bookman Old Style" w:hAnsi="Bookman Old Style" w:cs="Calibri"/>
          <w:bCs/>
          <w:color w:val="222222"/>
          <w:sz w:val="24"/>
          <w:szCs w:val="24"/>
          <w:u w:val="single"/>
        </w:rPr>
        <w:t xml:space="preserve"> </w:t>
      </w:r>
      <w:r w:rsidRPr="004F4B3F">
        <w:rPr>
          <w:rFonts w:ascii="Bookman Old Style" w:hAnsi="Bookman Old Style" w:cs="Calibri"/>
          <w:bCs/>
          <w:color w:val="222222"/>
          <w:sz w:val="24"/>
          <w:szCs w:val="24"/>
          <w:u w:val="single"/>
        </w:rPr>
        <w:t xml:space="preserve">è fissata alla data del </w:t>
      </w:r>
      <w:r w:rsidRPr="004F4B3F">
        <w:rPr>
          <w:rFonts w:ascii="Bookman Old Style" w:hAnsi="Bookman Old Style" w:cs="Calibri"/>
          <w:b/>
          <w:color w:val="222222"/>
          <w:sz w:val="24"/>
          <w:szCs w:val="24"/>
          <w:u w:val="single"/>
        </w:rPr>
        <w:t>20 aprile 202</w:t>
      </w:r>
      <w:r w:rsidR="0096392F" w:rsidRPr="004F4B3F">
        <w:rPr>
          <w:rFonts w:ascii="Bookman Old Style" w:hAnsi="Bookman Old Style" w:cs="Calibri"/>
          <w:b/>
          <w:color w:val="222222"/>
          <w:sz w:val="24"/>
          <w:szCs w:val="24"/>
          <w:u w:val="single"/>
        </w:rPr>
        <w:t>0.</w:t>
      </w:r>
    </w:p>
    <w:p w14:paraId="79945FC0" w14:textId="23993EC0" w:rsidR="006A7527" w:rsidRPr="001319E4" w:rsidRDefault="00017933">
      <w:pPr>
        <w:pStyle w:val="Paragrafoelenco"/>
        <w:ind w:left="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 xml:space="preserve">Per quanto riguarda la </w:t>
      </w:r>
      <w:r w:rsidRPr="004F4B3F">
        <w:rPr>
          <w:rFonts w:ascii="Bookman Old Style" w:hAnsi="Bookman Old Style" w:cs="Calibri"/>
          <w:bCs/>
          <w:color w:val="222222"/>
          <w:sz w:val="24"/>
          <w:szCs w:val="24"/>
          <w:u w:val="single"/>
        </w:rPr>
        <w:t>salvaguardia delle procedure avviate</w:t>
      </w:r>
      <w:r w:rsidRPr="001319E4">
        <w:rPr>
          <w:rFonts w:ascii="Bookman Old Style" w:hAnsi="Bookman Old Style" w:cs="Calibri"/>
          <w:bCs/>
          <w:color w:val="222222"/>
          <w:sz w:val="24"/>
          <w:szCs w:val="24"/>
        </w:rPr>
        <w:t xml:space="preserve">, </w:t>
      </w:r>
      <w:r w:rsidRPr="001319E4">
        <w:rPr>
          <w:rFonts w:ascii="Bookman Old Style" w:hAnsi="Bookman Old Style" w:cs="Calibri"/>
          <w:b/>
          <w:color w:val="222222"/>
          <w:sz w:val="24"/>
          <w:szCs w:val="24"/>
        </w:rPr>
        <w:t>la Circolare fa salve quelle per le quali alla data del 20 aprile 2020 siano state effettuate le comunicazioni ex art. 34-bis del D.Lgs. n. 165/2001</w:t>
      </w:r>
      <w:r w:rsidRPr="001319E4">
        <w:rPr>
          <w:rFonts w:ascii="Bookman Old Style" w:hAnsi="Bookman Old Style" w:cs="Calibri"/>
          <w:bCs/>
          <w:color w:val="222222"/>
          <w:sz w:val="24"/>
          <w:szCs w:val="24"/>
        </w:rPr>
        <w:t xml:space="preserve">, anche qualora dette assunzioni riguardino l’utilizzo di facoltà assunzionali residue degli ultimi 5 anni, eventualmente derogando, </w:t>
      </w:r>
      <w:r w:rsidR="00482E76" w:rsidRPr="001319E4">
        <w:rPr>
          <w:rFonts w:ascii="Bookman Old Style" w:hAnsi="Bookman Old Style" w:cs="Calibri"/>
          <w:bCs/>
          <w:color w:val="222222"/>
          <w:sz w:val="24"/>
          <w:szCs w:val="24"/>
        </w:rPr>
        <w:t>“</w:t>
      </w:r>
      <w:r w:rsidR="00482E76" w:rsidRPr="001319E4">
        <w:rPr>
          <w:rFonts w:ascii="Bookman Old Style" w:hAnsi="Bookman Old Style" w:cs="Calibri"/>
          <w:bCs/>
          <w:i/>
          <w:iCs/>
          <w:color w:val="222222"/>
          <w:sz w:val="24"/>
          <w:szCs w:val="24"/>
        </w:rPr>
        <w:t>con riferimento al solo</w:t>
      </w:r>
      <w:r w:rsidR="00482E76" w:rsidRPr="001319E4">
        <w:rPr>
          <w:rFonts w:ascii="Bookman Old Style" w:hAnsi="Bookman Old Style" w:cs="Calibri"/>
          <w:i/>
          <w:iCs/>
          <w:color w:val="222222"/>
          <w:sz w:val="24"/>
          <w:szCs w:val="24"/>
        </w:rPr>
        <w:t xml:space="preserve"> </w:t>
      </w:r>
      <w:r w:rsidRPr="001319E4">
        <w:rPr>
          <w:rFonts w:ascii="Bookman Old Style" w:hAnsi="Bookman Old Style" w:cs="Calibri"/>
          <w:i/>
          <w:iCs/>
          <w:color w:val="222222"/>
          <w:sz w:val="24"/>
          <w:szCs w:val="24"/>
        </w:rPr>
        <w:t>an</w:t>
      </w:r>
      <w:r w:rsidR="00931380" w:rsidRPr="001319E4">
        <w:rPr>
          <w:rFonts w:ascii="Bookman Old Style" w:hAnsi="Bookman Old Style" w:cs="Calibri"/>
          <w:i/>
          <w:iCs/>
          <w:color w:val="222222"/>
          <w:sz w:val="24"/>
          <w:szCs w:val="24"/>
        </w:rPr>
        <w:t>n</w:t>
      </w:r>
      <w:r w:rsidRPr="001319E4">
        <w:rPr>
          <w:rFonts w:ascii="Bookman Old Style" w:hAnsi="Bookman Old Style" w:cs="Calibri"/>
          <w:i/>
          <w:iCs/>
          <w:color w:val="222222"/>
          <w:sz w:val="24"/>
          <w:szCs w:val="24"/>
        </w:rPr>
        <w:t>o 2020</w:t>
      </w:r>
      <w:r w:rsidR="00482E76" w:rsidRPr="001319E4">
        <w:rPr>
          <w:rFonts w:ascii="Bookman Old Style" w:hAnsi="Bookman Old Style" w:cs="Calibri"/>
          <w:color w:val="222222"/>
          <w:sz w:val="24"/>
          <w:szCs w:val="24"/>
        </w:rPr>
        <w:t>”</w:t>
      </w:r>
      <w:r w:rsidRPr="001319E4">
        <w:rPr>
          <w:rFonts w:ascii="Bookman Old Style" w:hAnsi="Bookman Old Style" w:cs="Calibri"/>
          <w:bCs/>
          <w:color w:val="222222"/>
          <w:sz w:val="24"/>
          <w:szCs w:val="24"/>
        </w:rPr>
        <w:t>, ai valori soglia</w:t>
      </w:r>
      <w:r w:rsidR="00482E76" w:rsidRPr="001319E4">
        <w:rPr>
          <w:rFonts w:ascii="Bookman Old Style" w:hAnsi="Bookman Old Style" w:cs="Calibri"/>
          <w:bCs/>
          <w:color w:val="222222"/>
          <w:sz w:val="24"/>
          <w:szCs w:val="24"/>
        </w:rPr>
        <w:t xml:space="preserve">, all’ovvia condizione che tali procedure comprendano la prenotazione nelle scritture contabili della relativa spesa presunta come da principi contabili (5.1 del principio relativo alla </w:t>
      </w:r>
      <w:r w:rsidR="001319E4">
        <w:rPr>
          <w:rFonts w:ascii="Bookman Old Style" w:hAnsi="Bookman Old Style" w:cs="Calibri"/>
          <w:bCs/>
          <w:color w:val="222222"/>
          <w:sz w:val="24"/>
          <w:szCs w:val="24"/>
        </w:rPr>
        <w:t>contabilità armonizzata</w:t>
      </w:r>
      <w:r w:rsidR="00482E76" w:rsidRPr="001319E4">
        <w:rPr>
          <w:rFonts w:ascii="Bookman Old Style" w:hAnsi="Bookman Old Style" w:cs="Calibri"/>
          <w:bCs/>
          <w:color w:val="222222"/>
          <w:sz w:val="24"/>
          <w:szCs w:val="24"/>
        </w:rPr>
        <w:t>, all. 4.2 del d.lgs. n.118 del 2011)</w:t>
      </w:r>
      <w:r w:rsidR="00A84A34" w:rsidRPr="001319E4">
        <w:rPr>
          <w:rFonts w:ascii="Bookman Old Style" w:hAnsi="Bookman Old Style" w:cs="Calibri"/>
          <w:bCs/>
          <w:color w:val="222222"/>
          <w:sz w:val="24"/>
          <w:szCs w:val="24"/>
        </w:rPr>
        <w:t>.</w:t>
      </w:r>
    </w:p>
    <w:p w14:paraId="55457DF0" w14:textId="5C982286" w:rsidR="00890D82" w:rsidRPr="001319E4" w:rsidRDefault="00202EF8" w:rsidP="30728479">
      <w:pPr>
        <w:pStyle w:val="Paragrafoelenco"/>
        <w:ind w:left="0"/>
        <w:jc w:val="both"/>
        <w:rPr>
          <w:rFonts w:ascii="Bookman Old Style" w:hAnsi="Bookman Old Style" w:cs="Calibri"/>
          <w:i/>
          <w:iCs/>
          <w:color w:val="222222"/>
          <w:sz w:val="24"/>
          <w:szCs w:val="24"/>
          <w:u w:val="single"/>
        </w:rPr>
      </w:pPr>
      <w:r w:rsidRPr="30728479">
        <w:rPr>
          <w:rFonts w:ascii="Bookman Old Style" w:hAnsi="Bookman Old Style" w:cs="Calibri"/>
          <w:i/>
          <w:iCs/>
          <w:color w:val="222222"/>
          <w:sz w:val="24"/>
          <w:szCs w:val="24"/>
          <w:u w:val="single"/>
        </w:rPr>
        <w:t xml:space="preserve">A tal proposito, si ritiene importante precisare che il richiamo della Circolare alla valutazione della </w:t>
      </w:r>
      <w:r w:rsidR="007124A0" w:rsidRPr="30728479">
        <w:rPr>
          <w:rFonts w:ascii="Bookman Old Style" w:hAnsi="Bookman Old Style" w:cs="Calibri"/>
          <w:i/>
          <w:iCs/>
          <w:color w:val="222222"/>
          <w:sz w:val="24"/>
          <w:szCs w:val="24"/>
          <w:u w:val="single"/>
        </w:rPr>
        <w:t>«</w:t>
      </w:r>
      <w:r w:rsidRPr="30728479">
        <w:rPr>
          <w:rFonts w:ascii="Bookman Old Style" w:hAnsi="Bookman Old Style" w:cs="Calibri"/>
          <w:i/>
          <w:iCs/>
          <w:color w:val="222222"/>
          <w:sz w:val="24"/>
          <w:szCs w:val="24"/>
          <w:u w:val="single"/>
        </w:rPr>
        <w:t xml:space="preserve">capacità di rientro nei limiti di spesa </w:t>
      </w:r>
      <w:r w:rsidR="007124A0" w:rsidRPr="30728479">
        <w:rPr>
          <w:rFonts w:ascii="Bookman Old Style" w:hAnsi="Bookman Old Style" w:cs="Calibri"/>
          <w:i/>
          <w:iCs/>
          <w:color w:val="222222"/>
          <w:sz w:val="24"/>
          <w:szCs w:val="24"/>
          <w:u w:val="single"/>
        </w:rPr>
        <w:t xml:space="preserve">del 2021 </w:t>
      </w:r>
      <w:r w:rsidRPr="30728479">
        <w:rPr>
          <w:rFonts w:ascii="Bookman Old Style" w:hAnsi="Bookman Old Style" w:cs="Calibri"/>
          <w:i/>
          <w:iCs/>
          <w:color w:val="222222"/>
          <w:sz w:val="24"/>
          <w:szCs w:val="24"/>
          <w:u w:val="single"/>
        </w:rPr>
        <w:t xml:space="preserve">fissati </w:t>
      </w:r>
      <w:r w:rsidR="007124A0" w:rsidRPr="30728479">
        <w:rPr>
          <w:rFonts w:ascii="Bookman Old Style" w:hAnsi="Bookman Old Style" w:cs="Calibri"/>
          <w:i/>
          <w:iCs/>
          <w:color w:val="222222"/>
          <w:sz w:val="24"/>
          <w:szCs w:val="24"/>
          <w:u w:val="single"/>
        </w:rPr>
        <w:t>dalla norma»</w:t>
      </w:r>
      <w:r w:rsidRPr="30728479">
        <w:rPr>
          <w:rFonts w:ascii="Bookman Old Style" w:hAnsi="Bookman Old Style" w:cs="Calibri"/>
          <w:i/>
          <w:iCs/>
          <w:color w:val="222222"/>
          <w:sz w:val="24"/>
          <w:szCs w:val="24"/>
          <w:u w:val="single"/>
        </w:rPr>
        <w:t xml:space="preserve"> debba considerarsi riferito ai soli enti che, in ragione degli effetti finanziari determinati dall’opzione assunzionale in questione, registrerebbero </w:t>
      </w:r>
      <w:r w:rsidR="007124A0" w:rsidRPr="30728479">
        <w:rPr>
          <w:rFonts w:ascii="Bookman Old Style" w:hAnsi="Bookman Old Style" w:cs="Calibri"/>
          <w:i/>
          <w:iCs/>
          <w:color w:val="222222"/>
          <w:sz w:val="24"/>
          <w:szCs w:val="24"/>
          <w:u w:val="single"/>
        </w:rPr>
        <w:t>a partire dal 2021</w:t>
      </w:r>
      <w:r w:rsidRPr="30728479">
        <w:rPr>
          <w:rFonts w:ascii="Bookman Old Style" w:hAnsi="Bookman Old Style" w:cs="Calibri"/>
          <w:i/>
          <w:iCs/>
          <w:color w:val="222222"/>
          <w:sz w:val="24"/>
          <w:szCs w:val="24"/>
          <w:u w:val="single"/>
        </w:rPr>
        <w:t xml:space="preserve"> un rapporto fra Spese per il personale ed Entrate correnti nette </w:t>
      </w:r>
      <w:r w:rsidR="00BF0E76" w:rsidRPr="30728479">
        <w:rPr>
          <w:rFonts w:ascii="Bookman Old Style" w:hAnsi="Bookman Old Style" w:cs="Calibri"/>
          <w:i/>
          <w:iCs/>
          <w:color w:val="222222"/>
          <w:sz w:val="24"/>
          <w:szCs w:val="24"/>
          <w:u w:val="single"/>
        </w:rPr>
        <w:t xml:space="preserve">tale da connotarli quali enti «con elevata incidenza della spesa di personale sulle entrate correnti, ai quali è [dunque] richiesto di attuare una riduzione del rapporto </w:t>
      </w:r>
      <w:r w:rsidR="00BF0E76" w:rsidRPr="30728479">
        <w:rPr>
          <w:rFonts w:ascii="Bookman Old Style" w:hAnsi="Bookman Old Style" w:cs="Calibri"/>
          <w:i/>
          <w:iCs/>
          <w:color w:val="222222"/>
          <w:sz w:val="24"/>
          <w:szCs w:val="24"/>
          <w:u w:val="single"/>
        </w:rPr>
        <w:lastRenderedPageBreak/>
        <w:t>spesa/entrate»</w:t>
      </w:r>
      <w:r w:rsidR="0039591D" w:rsidRPr="30728479">
        <w:rPr>
          <w:rFonts w:ascii="Bookman Old Style" w:hAnsi="Bookman Old Style" w:cs="Calibri"/>
          <w:i/>
          <w:iCs/>
          <w:color w:val="222222"/>
          <w:sz w:val="24"/>
          <w:szCs w:val="24"/>
          <w:u w:val="single"/>
        </w:rPr>
        <w:t xml:space="preserve"> (cfr. Tabella 3 della Circolare),</w:t>
      </w:r>
      <w:r w:rsidR="00BF0E76" w:rsidRPr="30728479">
        <w:rPr>
          <w:rFonts w:ascii="Bookman Old Style" w:hAnsi="Bookman Old Style" w:cs="Calibri"/>
          <w:i/>
          <w:iCs/>
          <w:color w:val="222222"/>
          <w:sz w:val="24"/>
          <w:szCs w:val="24"/>
          <w:u w:val="single"/>
        </w:rPr>
        <w:t xml:space="preserve"> </w:t>
      </w:r>
      <w:r w:rsidR="00A0120A" w:rsidRPr="30728479">
        <w:rPr>
          <w:rFonts w:ascii="Bookman Old Style" w:hAnsi="Bookman Old Style" w:cs="Calibri"/>
          <w:i/>
          <w:iCs/>
          <w:color w:val="222222"/>
          <w:sz w:val="24"/>
          <w:szCs w:val="24"/>
          <w:u w:val="single"/>
        </w:rPr>
        <w:t xml:space="preserve">nei termini previsti dalla  norma primaria e dalla stessa </w:t>
      </w:r>
      <w:r w:rsidR="320C5899" w:rsidRPr="30728479">
        <w:rPr>
          <w:rFonts w:ascii="Bookman Old Style" w:hAnsi="Bookman Old Style" w:cs="Calibri"/>
          <w:i/>
          <w:iCs/>
          <w:color w:val="222222"/>
          <w:sz w:val="24"/>
          <w:szCs w:val="24"/>
          <w:u w:val="single"/>
        </w:rPr>
        <w:t>C</w:t>
      </w:r>
      <w:r w:rsidR="00A0120A" w:rsidRPr="30728479">
        <w:rPr>
          <w:rFonts w:ascii="Bookman Old Style" w:hAnsi="Bookman Old Style" w:cs="Calibri"/>
          <w:i/>
          <w:iCs/>
          <w:color w:val="222222"/>
          <w:sz w:val="24"/>
          <w:szCs w:val="24"/>
          <w:u w:val="single"/>
        </w:rPr>
        <w:t>ircolare</w:t>
      </w:r>
      <w:r w:rsidRPr="30728479">
        <w:rPr>
          <w:rFonts w:ascii="Bookman Old Style" w:hAnsi="Bookman Old Style" w:cs="Calibri"/>
          <w:i/>
          <w:iCs/>
          <w:color w:val="222222"/>
          <w:sz w:val="24"/>
          <w:szCs w:val="24"/>
          <w:u w:val="single"/>
        </w:rPr>
        <w:t xml:space="preserve">. </w:t>
      </w:r>
    </w:p>
    <w:p w14:paraId="5310CAE9" w14:textId="7DCB62FB" w:rsidR="007134FC" w:rsidRPr="001319E4" w:rsidRDefault="00A0120A" w:rsidP="00100016">
      <w:pPr>
        <w:pStyle w:val="Paragrafoelenco"/>
        <w:ind w:left="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 xml:space="preserve">Un’altra interpretazione, che pure può scaturire da taluni passi della nota ministeriale, vedrebbe un obbligo di rientro immediato, evidentemente non coerente </w:t>
      </w:r>
      <w:r w:rsidR="00890D82" w:rsidRPr="001319E4">
        <w:rPr>
          <w:rFonts w:ascii="Bookman Old Style" w:hAnsi="Bookman Old Style" w:cs="Calibri"/>
          <w:bCs/>
          <w:color w:val="222222"/>
          <w:sz w:val="24"/>
          <w:szCs w:val="24"/>
        </w:rPr>
        <w:t xml:space="preserve">con la </w:t>
      </w:r>
      <w:r w:rsidR="00E969A4" w:rsidRPr="001319E4">
        <w:rPr>
          <w:rFonts w:ascii="Bookman Old Style" w:hAnsi="Bookman Old Style" w:cs="Calibri"/>
          <w:bCs/>
          <w:color w:val="222222"/>
          <w:sz w:val="24"/>
          <w:szCs w:val="24"/>
        </w:rPr>
        <w:t xml:space="preserve">finalità espressamente </w:t>
      </w:r>
      <w:r w:rsidR="00890D82" w:rsidRPr="001319E4">
        <w:rPr>
          <w:rFonts w:ascii="Bookman Old Style" w:hAnsi="Bookman Old Style" w:cs="Calibri"/>
          <w:bCs/>
          <w:color w:val="222222"/>
          <w:sz w:val="24"/>
          <w:szCs w:val="24"/>
        </w:rPr>
        <w:t xml:space="preserve">indicata </w:t>
      </w:r>
      <w:r w:rsidR="00E969A4" w:rsidRPr="001319E4">
        <w:rPr>
          <w:rFonts w:ascii="Bookman Old Style" w:hAnsi="Bookman Old Style" w:cs="Calibri"/>
          <w:bCs/>
          <w:color w:val="222222"/>
          <w:sz w:val="24"/>
          <w:szCs w:val="24"/>
        </w:rPr>
        <w:t>nella Circolare</w:t>
      </w:r>
      <w:r w:rsidR="004F4B3F">
        <w:rPr>
          <w:rFonts w:ascii="Bookman Old Style" w:hAnsi="Bookman Old Style" w:cs="Calibri"/>
          <w:bCs/>
          <w:color w:val="222222"/>
          <w:sz w:val="24"/>
          <w:szCs w:val="24"/>
        </w:rPr>
        <w:t xml:space="preserve"> e oggettivamente non raggiungibile</w:t>
      </w:r>
      <w:r w:rsidR="00020A7C">
        <w:rPr>
          <w:rFonts w:ascii="Bookman Old Style" w:hAnsi="Bookman Old Style" w:cs="Calibri"/>
          <w:bCs/>
          <w:color w:val="222222"/>
          <w:sz w:val="24"/>
          <w:szCs w:val="24"/>
        </w:rPr>
        <w:t xml:space="preserve"> e pertanto irragionevole</w:t>
      </w:r>
      <w:r w:rsidR="00434007" w:rsidRPr="001319E4">
        <w:rPr>
          <w:rFonts w:ascii="Bookman Old Style" w:hAnsi="Bookman Old Style" w:cs="Calibri"/>
          <w:bCs/>
          <w:color w:val="222222"/>
          <w:sz w:val="24"/>
          <w:szCs w:val="24"/>
        </w:rPr>
        <w:t xml:space="preserve"> </w:t>
      </w:r>
      <w:r w:rsidR="00551661" w:rsidRPr="001319E4">
        <w:rPr>
          <w:rFonts w:ascii="Bookman Old Style" w:hAnsi="Bookman Old Style" w:cs="Calibri"/>
          <w:bCs/>
          <w:color w:val="222222"/>
          <w:sz w:val="24"/>
          <w:szCs w:val="24"/>
        </w:rPr>
        <w:t>(</w:t>
      </w:r>
      <w:r w:rsidR="00E969A4" w:rsidRPr="001319E4">
        <w:rPr>
          <w:rFonts w:ascii="Bookman Old Style" w:hAnsi="Bookman Old Style" w:cs="Calibri"/>
          <w:bCs/>
          <w:color w:val="222222"/>
          <w:sz w:val="24"/>
          <w:szCs w:val="24"/>
        </w:rPr>
        <w:t>«</w:t>
      </w:r>
      <w:r w:rsidR="00E969A4" w:rsidRPr="001319E4">
        <w:rPr>
          <w:rFonts w:ascii="Bookman Old Style" w:hAnsi="Bookman Old Style" w:cs="Calibri"/>
          <w:bCs/>
          <w:i/>
          <w:iCs/>
          <w:color w:val="222222"/>
          <w:sz w:val="24"/>
          <w:szCs w:val="24"/>
        </w:rPr>
        <w:t>per non penalizzare i comuni che</w:t>
      </w:r>
      <w:r w:rsidR="00BF0E76" w:rsidRPr="001319E4">
        <w:rPr>
          <w:rFonts w:ascii="Bookman Old Style" w:hAnsi="Bookman Old Style" w:cs="Calibri"/>
          <w:bCs/>
          <w:i/>
          <w:iCs/>
          <w:color w:val="222222"/>
          <w:sz w:val="24"/>
          <w:szCs w:val="24"/>
        </w:rPr>
        <w:t>,</w:t>
      </w:r>
      <w:r w:rsidR="00E969A4" w:rsidRPr="001319E4">
        <w:rPr>
          <w:rFonts w:ascii="Bookman Old Style" w:hAnsi="Bookman Old Style" w:cs="Calibri"/>
          <w:bCs/>
          <w:i/>
          <w:iCs/>
          <w:color w:val="222222"/>
          <w:sz w:val="24"/>
          <w:szCs w:val="24"/>
        </w:rPr>
        <w:t xml:space="preserve"> prima</w:t>
      </w:r>
      <w:r w:rsidR="00890D82" w:rsidRPr="001319E4">
        <w:rPr>
          <w:rFonts w:ascii="Bookman Old Style" w:hAnsi="Bookman Old Style" w:cs="Calibri"/>
          <w:bCs/>
          <w:i/>
          <w:iCs/>
          <w:color w:val="222222"/>
          <w:sz w:val="24"/>
          <w:szCs w:val="24"/>
        </w:rPr>
        <w:t xml:space="preserve"> della predetta data</w:t>
      </w:r>
      <w:r w:rsidR="00E969A4" w:rsidRPr="001319E4">
        <w:rPr>
          <w:rFonts w:ascii="Bookman Old Style" w:hAnsi="Bookman Old Style" w:cs="Calibri"/>
          <w:bCs/>
          <w:color w:val="222222"/>
          <w:sz w:val="24"/>
          <w:szCs w:val="24"/>
        </w:rPr>
        <w:t xml:space="preserve"> </w:t>
      </w:r>
      <w:r w:rsidR="00BF0E76" w:rsidRPr="001319E4">
        <w:rPr>
          <w:rFonts w:ascii="Bookman Old Style" w:hAnsi="Bookman Old Style" w:cs="Calibri"/>
          <w:bCs/>
          <w:color w:val="222222"/>
          <w:sz w:val="24"/>
          <w:szCs w:val="24"/>
        </w:rPr>
        <w:t>[</w:t>
      </w:r>
      <w:r w:rsidR="00890D82" w:rsidRPr="001319E4">
        <w:rPr>
          <w:rFonts w:ascii="Bookman Old Style" w:hAnsi="Bookman Old Style" w:cs="Calibri"/>
          <w:bCs/>
          <w:color w:val="222222"/>
          <w:sz w:val="24"/>
          <w:szCs w:val="24"/>
        </w:rPr>
        <w:t xml:space="preserve">il </w:t>
      </w:r>
      <w:r w:rsidR="00E969A4" w:rsidRPr="001319E4">
        <w:rPr>
          <w:rFonts w:ascii="Bookman Old Style" w:hAnsi="Bookman Old Style" w:cs="Calibri"/>
          <w:bCs/>
          <w:color w:val="222222"/>
          <w:sz w:val="24"/>
          <w:szCs w:val="24"/>
        </w:rPr>
        <w:t>20 aprile 2020</w:t>
      </w:r>
      <w:r w:rsidR="00BF0E76" w:rsidRPr="001319E4">
        <w:rPr>
          <w:rFonts w:ascii="Bookman Old Style" w:hAnsi="Bookman Old Style" w:cs="Calibri"/>
          <w:bCs/>
          <w:color w:val="222222"/>
          <w:sz w:val="24"/>
          <w:szCs w:val="24"/>
        </w:rPr>
        <w:t>]</w:t>
      </w:r>
      <w:r w:rsidR="00BF0E76" w:rsidRPr="001319E4">
        <w:rPr>
          <w:rFonts w:ascii="Bookman Old Style" w:hAnsi="Bookman Old Style" w:cs="Calibri"/>
          <w:bCs/>
          <w:i/>
          <w:iCs/>
          <w:color w:val="222222"/>
          <w:sz w:val="24"/>
          <w:szCs w:val="24"/>
        </w:rPr>
        <w:t>,</w:t>
      </w:r>
      <w:r w:rsidR="00E969A4" w:rsidRPr="001319E4">
        <w:rPr>
          <w:rFonts w:ascii="Bookman Old Style" w:hAnsi="Bookman Old Style" w:cs="Calibri"/>
          <w:bCs/>
          <w:i/>
          <w:iCs/>
          <w:color w:val="222222"/>
          <w:sz w:val="24"/>
          <w:szCs w:val="24"/>
        </w:rPr>
        <w:t xml:space="preserve"> </w:t>
      </w:r>
      <w:r w:rsidR="00BF0E76" w:rsidRPr="001319E4">
        <w:rPr>
          <w:rFonts w:ascii="Bookman Old Style" w:hAnsi="Bookman Old Style" w:cs="Calibri"/>
          <w:bCs/>
          <w:i/>
          <w:iCs/>
          <w:color w:val="222222"/>
          <w:sz w:val="24"/>
          <w:szCs w:val="24"/>
        </w:rPr>
        <w:t>hanno</w:t>
      </w:r>
      <w:r w:rsidR="00E969A4" w:rsidRPr="001319E4">
        <w:rPr>
          <w:rFonts w:ascii="Bookman Old Style" w:hAnsi="Bookman Old Style" w:cs="Calibri"/>
          <w:bCs/>
          <w:i/>
          <w:iCs/>
          <w:color w:val="222222"/>
          <w:sz w:val="24"/>
          <w:szCs w:val="24"/>
        </w:rPr>
        <w:t xml:space="preserve"> legittimamente avviato procedure concorsuali</w:t>
      </w:r>
      <w:r w:rsidR="00BF0E76" w:rsidRPr="001319E4">
        <w:rPr>
          <w:rFonts w:ascii="Bookman Old Style" w:hAnsi="Bookman Old Style" w:cs="Calibri"/>
          <w:bCs/>
          <w:i/>
          <w:iCs/>
          <w:color w:val="222222"/>
          <w:sz w:val="24"/>
          <w:szCs w:val="24"/>
        </w:rPr>
        <w:t xml:space="preserve"> con il previgente regime</w:t>
      </w:r>
      <w:r w:rsidR="00BF0E76" w:rsidRPr="001319E4">
        <w:rPr>
          <w:rFonts w:ascii="Bookman Old Style" w:hAnsi="Bookman Old Style" w:cs="Calibri"/>
          <w:bCs/>
          <w:color w:val="222222"/>
          <w:sz w:val="24"/>
          <w:szCs w:val="24"/>
        </w:rPr>
        <w:t>»</w:t>
      </w:r>
      <w:r w:rsidR="00434007" w:rsidRPr="001319E4">
        <w:rPr>
          <w:rFonts w:ascii="Bookman Old Style" w:hAnsi="Bookman Old Style" w:cs="Calibri"/>
          <w:bCs/>
          <w:color w:val="222222"/>
          <w:sz w:val="24"/>
          <w:szCs w:val="24"/>
        </w:rPr>
        <w:t>)</w:t>
      </w:r>
      <w:r w:rsidRPr="001319E4">
        <w:rPr>
          <w:rFonts w:ascii="Bookman Old Style" w:hAnsi="Bookman Old Style" w:cs="Calibri"/>
          <w:bCs/>
          <w:color w:val="222222"/>
          <w:sz w:val="24"/>
          <w:szCs w:val="24"/>
        </w:rPr>
        <w:t xml:space="preserve">. </w:t>
      </w:r>
    </w:p>
    <w:p w14:paraId="38276C57" w14:textId="65030CD4" w:rsidR="002F4E7B" w:rsidRPr="001319E4" w:rsidRDefault="00A0120A" w:rsidP="00100016">
      <w:pPr>
        <w:pStyle w:val="Paragrafoelenco"/>
        <w:ind w:left="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In particolare</w:t>
      </w:r>
      <w:r w:rsidR="00FA663B" w:rsidRPr="001319E4">
        <w:rPr>
          <w:rFonts w:ascii="Bookman Old Style" w:hAnsi="Bookman Old Style" w:cs="Calibri"/>
          <w:bCs/>
          <w:color w:val="222222"/>
          <w:sz w:val="24"/>
          <w:szCs w:val="24"/>
        </w:rPr>
        <w:t>,</w:t>
      </w:r>
      <w:r w:rsidRPr="001319E4">
        <w:rPr>
          <w:rFonts w:ascii="Bookman Old Style" w:hAnsi="Bookman Old Style" w:cs="Calibri"/>
          <w:bCs/>
          <w:color w:val="222222"/>
          <w:sz w:val="24"/>
          <w:szCs w:val="24"/>
        </w:rPr>
        <w:t xml:space="preserve"> si ritiene che nel caso in cui le maggiori assunzioni da previgenti procedure comportino </w:t>
      </w:r>
      <w:r w:rsidR="00E969A4" w:rsidRPr="001319E4">
        <w:rPr>
          <w:rFonts w:ascii="Bookman Old Style" w:hAnsi="Bookman Old Style" w:cs="Calibri"/>
          <w:bCs/>
          <w:color w:val="222222"/>
          <w:sz w:val="24"/>
          <w:szCs w:val="24"/>
        </w:rPr>
        <w:t>a partire dal 2021</w:t>
      </w:r>
      <w:r w:rsidR="00BF0E76" w:rsidRPr="001319E4">
        <w:rPr>
          <w:rFonts w:ascii="Bookman Old Style" w:hAnsi="Bookman Old Style" w:cs="Calibri"/>
          <w:bCs/>
          <w:color w:val="222222"/>
          <w:sz w:val="24"/>
          <w:szCs w:val="24"/>
        </w:rPr>
        <w:t>,</w:t>
      </w:r>
      <w:r w:rsidR="00E969A4" w:rsidRPr="001319E4">
        <w:rPr>
          <w:rFonts w:ascii="Bookman Old Style" w:hAnsi="Bookman Old Style" w:cs="Calibri"/>
          <w:bCs/>
          <w:color w:val="222222"/>
          <w:sz w:val="24"/>
          <w:szCs w:val="24"/>
        </w:rPr>
        <w:t xml:space="preserve"> </w:t>
      </w:r>
      <w:r w:rsidRPr="001319E4">
        <w:rPr>
          <w:rFonts w:ascii="Bookman Old Style" w:hAnsi="Bookman Old Style" w:cs="Calibri"/>
          <w:bCs/>
          <w:color w:val="222222"/>
          <w:sz w:val="24"/>
          <w:szCs w:val="24"/>
        </w:rPr>
        <w:t xml:space="preserve">la collocazione di un Comune </w:t>
      </w:r>
      <w:r w:rsidR="00E969A4" w:rsidRPr="001319E4">
        <w:rPr>
          <w:rFonts w:ascii="Bookman Old Style" w:hAnsi="Bookman Old Style" w:cs="Calibri"/>
          <w:bCs/>
          <w:color w:val="222222"/>
          <w:sz w:val="24"/>
          <w:szCs w:val="24"/>
        </w:rPr>
        <w:t xml:space="preserve">nella </w:t>
      </w:r>
      <w:r w:rsidR="007124A0" w:rsidRPr="001319E4">
        <w:rPr>
          <w:rFonts w:ascii="Bookman Old Style" w:hAnsi="Bookman Old Style" w:cs="Calibri"/>
          <w:bCs/>
          <w:color w:val="222222"/>
          <w:sz w:val="24"/>
          <w:szCs w:val="24"/>
        </w:rPr>
        <w:t xml:space="preserve">cosiddetta fascia intermedia (la </w:t>
      </w:r>
      <w:r w:rsidR="00E969A4" w:rsidRPr="001319E4">
        <w:rPr>
          <w:rFonts w:ascii="Bookman Old Style" w:hAnsi="Bookman Old Style" w:cs="Calibri"/>
          <w:bCs/>
          <w:color w:val="222222"/>
          <w:sz w:val="24"/>
          <w:szCs w:val="24"/>
        </w:rPr>
        <w:t xml:space="preserve">terza fattispecie classificata </w:t>
      </w:r>
      <w:r w:rsidR="007124A0" w:rsidRPr="001319E4">
        <w:rPr>
          <w:rFonts w:ascii="Bookman Old Style" w:hAnsi="Bookman Old Style" w:cs="Calibri"/>
          <w:bCs/>
          <w:color w:val="222222"/>
          <w:sz w:val="24"/>
          <w:szCs w:val="24"/>
        </w:rPr>
        <w:t>dalla</w:t>
      </w:r>
      <w:r w:rsidR="00E969A4" w:rsidRPr="001319E4">
        <w:rPr>
          <w:rFonts w:ascii="Bookman Old Style" w:hAnsi="Bookman Old Style" w:cs="Calibri"/>
          <w:bCs/>
          <w:color w:val="222222"/>
          <w:sz w:val="24"/>
          <w:szCs w:val="24"/>
        </w:rPr>
        <w:t xml:space="preserve"> Circolare</w:t>
      </w:r>
      <w:r w:rsidR="007124A0" w:rsidRPr="001319E4">
        <w:rPr>
          <w:rFonts w:ascii="Bookman Old Style" w:hAnsi="Bookman Old Style" w:cs="Calibri"/>
          <w:bCs/>
          <w:color w:val="222222"/>
          <w:sz w:val="24"/>
          <w:szCs w:val="24"/>
        </w:rPr>
        <w:t>)</w:t>
      </w:r>
      <w:r w:rsidR="00E969A4" w:rsidRPr="001319E4">
        <w:rPr>
          <w:rFonts w:ascii="Bookman Old Style" w:hAnsi="Bookman Old Style" w:cs="Calibri"/>
          <w:bCs/>
          <w:color w:val="222222"/>
          <w:sz w:val="24"/>
          <w:szCs w:val="24"/>
        </w:rPr>
        <w:t xml:space="preserve">, </w:t>
      </w:r>
      <w:r w:rsidR="007124A0" w:rsidRPr="001319E4">
        <w:rPr>
          <w:rFonts w:ascii="Bookman Old Style" w:hAnsi="Bookman Old Style" w:cs="Calibri"/>
          <w:bCs/>
          <w:color w:val="222222"/>
          <w:sz w:val="24"/>
          <w:szCs w:val="24"/>
        </w:rPr>
        <w:t>ossia quella che caratterizza</w:t>
      </w:r>
      <w:r w:rsidR="00E969A4" w:rsidRPr="001319E4">
        <w:rPr>
          <w:rFonts w:ascii="Bookman Old Style" w:hAnsi="Bookman Old Style" w:cs="Calibri"/>
          <w:bCs/>
          <w:color w:val="222222"/>
          <w:sz w:val="24"/>
          <w:szCs w:val="24"/>
        </w:rPr>
        <w:t xml:space="preserve"> </w:t>
      </w:r>
      <w:r w:rsidR="007124A0" w:rsidRPr="001319E4">
        <w:rPr>
          <w:rFonts w:ascii="Bookman Old Style" w:hAnsi="Bookman Old Style" w:cs="Calibri"/>
          <w:bCs/>
          <w:color w:val="222222"/>
          <w:sz w:val="24"/>
          <w:szCs w:val="24"/>
        </w:rPr>
        <w:t xml:space="preserve">gli </w:t>
      </w:r>
      <w:r w:rsidR="00E969A4" w:rsidRPr="001319E4">
        <w:rPr>
          <w:rFonts w:ascii="Bookman Old Style" w:hAnsi="Bookman Old Style" w:cs="Calibri"/>
          <w:bCs/>
          <w:color w:val="222222"/>
          <w:sz w:val="24"/>
          <w:szCs w:val="24"/>
        </w:rPr>
        <w:t>enti con «moderata incidenza della spesa di personale»</w:t>
      </w:r>
      <w:r w:rsidR="00431965" w:rsidRPr="001319E4">
        <w:rPr>
          <w:rFonts w:ascii="Bookman Old Style" w:hAnsi="Bookman Old Style" w:cs="Calibri"/>
          <w:bCs/>
          <w:color w:val="222222"/>
          <w:sz w:val="24"/>
          <w:szCs w:val="24"/>
        </w:rPr>
        <w:t xml:space="preserve">, gli obblighi in capo al Comune stesso </w:t>
      </w:r>
      <w:r w:rsidR="0039591D" w:rsidRPr="001319E4">
        <w:rPr>
          <w:rFonts w:ascii="Bookman Old Style" w:hAnsi="Bookman Old Style" w:cs="Calibri"/>
          <w:bCs/>
          <w:color w:val="222222"/>
          <w:sz w:val="24"/>
          <w:szCs w:val="24"/>
        </w:rPr>
        <w:t>consistano nel non superamento a partire dal 202</w:t>
      </w:r>
      <w:r w:rsidR="00AF3AF2" w:rsidRPr="001319E4">
        <w:rPr>
          <w:rFonts w:ascii="Bookman Old Style" w:hAnsi="Bookman Old Style" w:cs="Calibri"/>
          <w:bCs/>
          <w:color w:val="222222"/>
          <w:sz w:val="24"/>
          <w:szCs w:val="24"/>
        </w:rPr>
        <w:t>1</w:t>
      </w:r>
      <w:r w:rsidR="0039591D" w:rsidRPr="001319E4">
        <w:rPr>
          <w:rFonts w:ascii="Bookman Old Style" w:hAnsi="Bookman Old Style" w:cs="Calibri"/>
          <w:bCs/>
          <w:color w:val="222222"/>
          <w:sz w:val="24"/>
          <w:szCs w:val="24"/>
        </w:rPr>
        <w:t xml:space="preserve"> del rapporto spesa di personale/entrate correnti nette già registrato </w:t>
      </w:r>
      <w:r w:rsidR="00AF3AF2" w:rsidRPr="001319E4">
        <w:rPr>
          <w:rFonts w:ascii="Bookman Old Style" w:hAnsi="Bookman Old Style" w:cs="Calibri"/>
          <w:bCs/>
          <w:color w:val="222222"/>
          <w:sz w:val="24"/>
          <w:szCs w:val="24"/>
        </w:rPr>
        <w:t xml:space="preserve">anche </w:t>
      </w:r>
      <w:r w:rsidR="0039591D" w:rsidRPr="001319E4">
        <w:rPr>
          <w:rFonts w:ascii="Bookman Old Style" w:hAnsi="Bookman Old Style" w:cs="Calibri"/>
          <w:bCs/>
          <w:color w:val="222222"/>
          <w:sz w:val="24"/>
          <w:szCs w:val="24"/>
        </w:rPr>
        <w:t>alla luce delle nuove assunzioni intervenute</w:t>
      </w:r>
      <w:r w:rsidR="00E969A4" w:rsidRPr="001319E4">
        <w:rPr>
          <w:rFonts w:ascii="Bookman Old Style" w:hAnsi="Bookman Old Style" w:cs="Calibri"/>
          <w:bCs/>
          <w:color w:val="222222"/>
          <w:sz w:val="24"/>
          <w:szCs w:val="24"/>
        </w:rPr>
        <w:t>.</w:t>
      </w:r>
      <w:r w:rsidR="007124A0" w:rsidRPr="001319E4">
        <w:rPr>
          <w:rFonts w:ascii="Bookman Old Style" w:hAnsi="Bookman Old Style" w:cs="Calibri"/>
          <w:bCs/>
          <w:color w:val="222222"/>
          <w:sz w:val="24"/>
          <w:szCs w:val="24"/>
        </w:rPr>
        <w:t xml:space="preserve"> Pertanto, in definitiva, il </w:t>
      </w:r>
      <w:r w:rsidR="008B1FCC" w:rsidRPr="001319E4">
        <w:rPr>
          <w:rFonts w:ascii="Bookman Old Style" w:hAnsi="Bookman Old Style" w:cs="Calibri"/>
          <w:bCs/>
          <w:color w:val="222222"/>
          <w:sz w:val="24"/>
          <w:szCs w:val="24"/>
        </w:rPr>
        <w:t>parametro soglia</w:t>
      </w:r>
      <w:r w:rsidR="007124A0" w:rsidRPr="001319E4">
        <w:rPr>
          <w:rFonts w:ascii="Bookman Old Style" w:hAnsi="Bookman Old Style" w:cs="Calibri"/>
          <w:bCs/>
          <w:color w:val="222222"/>
          <w:sz w:val="24"/>
          <w:szCs w:val="24"/>
        </w:rPr>
        <w:t xml:space="preserve"> che </w:t>
      </w:r>
      <w:r w:rsidR="00551661" w:rsidRPr="001319E4">
        <w:rPr>
          <w:rFonts w:ascii="Bookman Old Style" w:hAnsi="Bookman Old Style" w:cs="Calibri"/>
          <w:bCs/>
          <w:color w:val="222222"/>
          <w:sz w:val="24"/>
          <w:szCs w:val="24"/>
        </w:rPr>
        <w:t xml:space="preserve">risulterà </w:t>
      </w:r>
      <w:r w:rsidR="007124A0" w:rsidRPr="001319E4">
        <w:rPr>
          <w:rFonts w:ascii="Bookman Old Style" w:hAnsi="Bookman Old Style" w:cs="Calibri"/>
          <w:bCs/>
          <w:color w:val="222222"/>
          <w:sz w:val="24"/>
          <w:szCs w:val="24"/>
        </w:rPr>
        <w:t xml:space="preserve">a partire dal 2021, anche per effetto delle avvenute assunzioni derivanti dalle procedure avviate </w:t>
      </w:r>
      <w:r w:rsidR="007124A0" w:rsidRPr="001319E4">
        <w:rPr>
          <w:rFonts w:ascii="Bookman Old Style" w:hAnsi="Bookman Old Style" w:cs="Calibri"/>
          <w:bCs/>
          <w:i/>
          <w:iCs/>
          <w:color w:val="222222"/>
          <w:sz w:val="24"/>
          <w:szCs w:val="24"/>
        </w:rPr>
        <w:t>ante</w:t>
      </w:r>
      <w:r w:rsidR="007124A0" w:rsidRPr="001319E4">
        <w:rPr>
          <w:rFonts w:ascii="Bookman Old Style" w:hAnsi="Bookman Old Style" w:cs="Calibri"/>
          <w:bCs/>
          <w:color w:val="222222"/>
          <w:sz w:val="24"/>
          <w:szCs w:val="24"/>
        </w:rPr>
        <w:t xml:space="preserve"> 20 aprile 2020, determinerà la posizione dell’ente ai fini dell’applicazione delle nuove regole assunzionali.</w:t>
      </w:r>
    </w:p>
    <w:bookmarkEnd w:id="1"/>
    <w:bookmarkEnd w:id="2"/>
    <w:p w14:paraId="794CA3FE" w14:textId="346C1D01" w:rsidR="001F345A" w:rsidRPr="001319E4" w:rsidRDefault="000726B9" w:rsidP="001F345A">
      <w:pPr>
        <w:widowControl w:val="0"/>
        <w:shd w:val="clear" w:color="auto" w:fill="FFFFFF"/>
        <w:spacing w:after="120"/>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Un</w:t>
      </w:r>
      <w:r w:rsidR="00BF5E20" w:rsidRPr="001319E4">
        <w:rPr>
          <w:rFonts w:ascii="Bookman Old Style" w:hAnsi="Bookman Old Style" w:cs="Calibri"/>
          <w:bCs/>
          <w:color w:val="000000" w:themeColor="text1"/>
          <w:sz w:val="24"/>
          <w:szCs w:val="24"/>
        </w:rPr>
        <w:t xml:space="preserve"> i</w:t>
      </w:r>
      <w:r w:rsidRPr="001319E4">
        <w:rPr>
          <w:rFonts w:ascii="Bookman Old Style" w:hAnsi="Bookman Old Style" w:cs="Calibri"/>
          <w:bCs/>
          <w:color w:val="000000" w:themeColor="text1"/>
          <w:sz w:val="24"/>
          <w:szCs w:val="24"/>
        </w:rPr>
        <w:t>mportante chiarimento è contenuto nell’articolo</w:t>
      </w:r>
      <w:r w:rsidR="006A7527" w:rsidRPr="001319E4">
        <w:rPr>
          <w:rFonts w:ascii="Bookman Old Style" w:hAnsi="Bookman Old Style" w:cs="Calibri"/>
          <w:bCs/>
          <w:color w:val="000000" w:themeColor="text1"/>
          <w:sz w:val="24"/>
          <w:szCs w:val="24"/>
        </w:rPr>
        <w:t xml:space="preserve"> </w:t>
      </w:r>
      <w:r w:rsidR="001F345A" w:rsidRPr="001319E4">
        <w:rPr>
          <w:rFonts w:ascii="Bookman Old Style" w:hAnsi="Bookman Old Style" w:cs="Calibri"/>
          <w:bCs/>
          <w:color w:val="000000" w:themeColor="text1"/>
          <w:sz w:val="24"/>
          <w:szCs w:val="24"/>
        </w:rPr>
        <w:t xml:space="preserve">1 del </w:t>
      </w:r>
      <w:r w:rsidR="00185ECD" w:rsidRPr="001319E4">
        <w:rPr>
          <w:rFonts w:ascii="Bookman Old Style" w:hAnsi="Bookman Old Style" w:cs="Calibri"/>
          <w:bCs/>
          <w:color w:val="000000" w:themeColor="text1"/>
          <w:sz w:val="24"/>
          <w:szCs w:val="24"/>
        </w:rPr>
        <w:t>d</w:t>
      </w:r>
      <w:r w:rsidR="001F345A" w:rsidRPr="001319E4">
        <w:rPr>
          <w:rFonts w:ascii="Bookman Old Style" w:hAnsi="Bookman Old Style" w:cs="Calibri"/>
          <w:bCs/>
          <w:color w:val="000000" w:themeColor="text1"/>
          <w:sz w:val="24"/>
          <w:szCs w:val="24"/>
        </w:rPr>
        <w:t>ecreto</w:t>
      </w:r>
      <w:r w:rsidR="00185ECD" w:rsidRPr="001319E4">
        <w:rPr>
          <w:rFonts w:ascii="Bookman Old Style" w:hAnsi="Bookman Old Style" w:cs="Calibri"/>
          <w:bCs/>
          <w:color w:val="000000" w:themeColor="text1"/>
          <w:sz w:val="24"/>
          <w:szCs w:val="24"/>
        </w:rPr>
        <w:t xml:space="preserve"> in cui si afferma che </w:t>
      </w:r>
      <w:r w:rsidR="001F345A" w:rsidRPr="001319E4">
        <w:rPr>
          <w:rFonts w:ascii="Bookman Old Style" w:hAnsi="Bookman Old Style" w:cs="Calibri"/>
          <w:bCs/>
          <w:color w:val="000000" w:themeColor="text1"/>
          <w:sz w:val="24"/>
          <w:szCs w:val="24"/>
        </w:rPr>
        <w:t xml:space="preserve">le disposizioni in materia di </w:t>
      </w:r>
      <w:r w:rsidR="001F345A" w:rsidRPr="001319E4">
        <w:rPr>
          <w:rFonts w:ascii="Bookman Old Style" w:hAnsi="Bookman Old Style" w:cs="Calibri"/>
          <w:b/>
          <w:bCs/>
          <w:color w:val="000000" w:themeColor="text1"/>
          <w:sz w:val="24"/>
          <w:szCs w:val="24"/>
        </w:rPr>
        <w:t>trattamento economico accessorio</w:t>
      </w:r>
      <w:r w:rsidR="001F345A" w:rsidRPr="001319E4">
        <w:rPr>
          <w:rFonts w:ascii="Bookman Old Style" w:hAnsi="Bookman Old Style" w:cs="Calibri"/>
          <w:bCs/>
          <w:color w:val="000000" w:themeColor="text1"/>
          <w:sz w:val="24"/>
          <w:szCs w:val="24"/>
        </w:rPr>
        <w:t xml:space="preserve"> si applicano con la medesima decorrenza definita per il nuovo regime assunzionale. </w:t>
      </w:r>
    </w:p>
    <w:p w14:paraId="7EEDEC4E" w14:textId="3E15835E" w:rsidR="001F345A" w:rsidRPr="001319E4" w:rsidRDefault="001F345A" w:rsidP="001F345A">
      <w:pPr>
        <w:widowControl w:val="0"/>
        <w:shd w:val="clear" w:color="auto" w:fill="FFFFFF"/>
        <w:spacing w:after="120"/>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In particolare l’art. 33</w:t>
      </w:r>
      <w:r w:rsidR="0022275A" w:rsidRPr="001319E4">
        <w:rPr>
          <w:rFonts w:ascii="Bookman Old Style" w:hAnsi="Bookman Old Style" w:cs="Calibri"/>
          <w:bCs/>
          <w:color w:val="000000" w:themeColor="text1"/>
          <w:sz w:val="24"/>
          <w:szCs w:val="24"/>
        </w:rPr>
        <w:t>, comma 2, del Decreto Crescita ha previsto che “</w:t>
      </w:r>
      <w:r w:rsidR="0022275A" w:rsidRPr="001319E4">
        <w:rPr>
          <w:rFonts w:ascii="Bookman Old Style" w:hAnsi="Bookman Old Style" w:cs="Calibri"/>
          <w:bCs/>
          <w:i/>
          <w:color w:val="000000" w:themeColor="text1"/>
          <w:sz w:val="24"/>
          <w:szCs w:val="24"/>
        </w:rPr>
        <w:t xml:space="preserve">Il limite al trattamento accessorio del personale di cui all'articolo 23, comma 2, del decreto legislativo 25 maggio 2017, n. 75, </w:t>
      </w:r>
      <w:r w:rsidR="00F30577" w:rsidRPr="001319E4">
        <w:rPr>
          <w:rFonts w:ascii="Bookman Old Style" w:hAnsi="Bookman Old Style" w:cs="Calibri"/>
          <w:bCs/>
          <w:i/>
          <w:color w:val="000000" w:themeColor="text1"/>
          <w:sz w:val="24"/>
          <w:szCs w:val="24"/>
        </w:rPr>
        <w:t xml:space="preserve">è </w:t>
      </w:r>
      <w:r w:rsidR="0022275A" w:rsidRPr="001319E4">
        <w:rPr>
          <w:rFonts w:ascii="Bookman Old Style" w:hAnsi="Bookman Old Style" w:cs="Calibri"/>
          <w:bCs/>
          <w:i/>
          <w:color w:val="000000" w:themeColor="text1"/>
          <w:sz w:val="24"/>
          <w:szCs w:val="24"/>
        </w:rPr>
        <w:t xml:space="preserve">adeguato, in aumento o in diminuzione, per garantire l'invarianza del valore medio pro-capite, riferito all'anno 2018, del fondo per la contrattazione integrativa </w:t>
      </w:r>
      <w:r w:rsidR="00F30577" w:rsidRPr="001319E4">
        <w:rPr>
          <w:rFonts w:ascii="Bookman Old Style" w:hAnsi="Bookman Old Style" w:cs="Calibri"/>
          <w:bCs/>
          <w:i/>
          <w:color w:val="000000" w:themeColor="text1"/>
          <w:sz w:val="24"/>
          <w:szCs w:val="24"/>
        </w:rPr>
        <w:t xml:space="preserve">nonché </w:t>
      </w:r>
      <w:r w:rsidR="0022275A" w:rsidRPr="001319E4">
        <w:rPr>
          <w:rFonts w:ascii="Bookman Old Style" w:hAnsi="Bookman Old Style" w:cs="Calibri"/>
          <w:bCs/>
          <w:i/>
          <w:color w:val="000000" w:themeColor="text1"/>
          <w:sz w:val="24"/>
          <w:szCs w:val="24"/>
        </w:rPr>
        <w:t>delle risorse per remunerare gli incarichi di posizione organizzativa, prendendo a riferimento come base di calcolo il personale in servizio al 31 dicembre 2018”</w:t>
      </w:r>
      <w:r w:rsidR="0022275A" w:rsidRPr="001319E4">
        <w:rPr>
          <w:rFonts w:ascii="Bookman Old Style" w:hAnsi="Bookman Old Style" w:cs="Calibri"/>
          <w:bCs/>
          <w:color w:val="000000" w:themeColor="text1"/>
          <w:sz w:val="24"/>
          <w:szCs w:val="24"/>
        </w:rPr>
        <w:t>.</w:t>
      </w:r>
    </w:p>
    <w:p w14:paraId="202E0A7F" w14:textId="1E3F510E" w:rsidR="00DC6731" w:rsidRPr="001319E4" w:rsidRDefault="00CA7064" w:rsidP="001F345A">
      <w:pPr>
        <w:widowControl w:val="0"/>
        <w:shd w:val="clear" w:color="auto" w:fill="FFFFFF"/>
        <w:spacing w:after="120"/>
        <w:jc w:val="both"/>
        <w:rPr>
          <w:rFonts w:ascii="Bookman Old Style" w:hAnsi="Bookman Old Style" w:cs="Calibri"/>
          <w:bCs/>
          <w:sz w:val="24"/>
          <w:szCs w:val="24"/>
        </w:rPr>
      </w:pPr>
      <w:r w:rsidRPr="001319E4">
        <w:rPr>
          <w:rFonts w:ascii="Bookman Old Style" w:hAnsi="Bookman Old Style" w:cs="Calibri"/>
          <w:bCs/>
          <w:sz w:val="24"/>
          <w:szCs w:val="24"/>
        </w:rPr>
        <w:t xml:space="preserve">La norma </w:t>
      </w:r>
      <w:r w:rsidR="003272E8" w:rsidRPr="001319E4">
        <w:rPr>
          <w:rFonts w:ascii="Bookman Old Style" w:hAnsi="Bookman Old Style" w:cs="Calibri"/>
          <w:bCs/>
          <w:sz w:val="24"/>
          <w:szCs w:val="24"/>
        </w:rPr>
        <w:t>consente quindi una crescita controllata</w:t>
      </w:r>
      <w:r w:rsidR="00537533" w:rsidRPr="001319E4">
        <w:rPr>
          <w:rFonts w:ascii="Bookman Old Style" w:hAnsi="Bookman Old Style" w:cs="Calibri"/>
          <w:bCs/>
          <w:sz w:val="24"/>
          <w:szCs w:val="24"/>
        </w:rPr>
        <w:t xml:space="preserve"> e proporzionata, in relazione agli incrementi di organico,</w:t>
      </w:r>
      <w:r w:rsidR="003272E8" w:rsidRPr="001319E4">
        <w:rPr>
          <w:rFonts w:ascii="Bookman Old Style" w:hAnsi="Bookman Old Style" w:cs="Calibri"/>
          <w:bCs/>
          <w:sz w:val="24"/>
          <w:szCs w:val="24"/>
        </w:rPr>
        <w:t xml:space="preserve"> delle risorse </w:t>
      </w:r>
      <w:r w:rsidR="000C1D8B" w:rsidRPr="001319E4">
        <w:rPr>
          <w:rFonts w:ascii="Bookman Old Style" w:hAnsi="Bookman Old Style" w:cs="Calibri"/>
          <w:bCs/>
          <w:sz w:val="24"/>
          <w:szCs w:val="24"/>
        </w:rPr>
        <w:t xml:space="preserve">accessorie necessarie sia per l’alimentazione del fondo che per </w:t>
      </w:r>
      <w:r w:rsidR="004372D7" w:rsidRPr="001319E4">
        <w:rPr>
          <w:rFonts w:ascii="Bookman Old Style" w:hAnsi="Bookman Old Style" w:cs="Calibri"/>
          <w:bCs/>
          <w:sz w:val="24"/>
          <w:szCs w:val="24"/>
        </w:rPr>
        <w:t xml:space="preserve">la retribuzione </w:t>
      </w:r>
      <w:r w:rsidR="00246F5E" w:rsidRPr="001319E4">
        <w:rPr>
          <w:rFonts w:ascii="Bookman Old Style" w:hAnsi="Bookman Old Style" w:cs="Calibri"/>
          <w:bCs/>
          <w:sz w:val="24"/>
          <w:szCs w:val="24"/>
        </w:rPr>
        <w:t>degli incaricati di posizione organizzativa</w:t>
      </w:r>
      <w:r w:rsidR="00527667" w:rsidRPr="001319E4">
        <w:rPr>
          <w:rFonts w:ascii="Bookman Old Style" w:hAnsi="Bookman Old Style" w:cs="Calibri"/>
          <w:bCs/>
          <w:sz w:val="24"/>
          <w:szCs w:val="24"/>
        </w:rPr>
        <w:t>.</w:t>
      </w:r>
    </w:p>
    <w:p w14:paraId="5B18AC73" w14:textId="7489461F" w:rsidR="001F345A" w:rsidRPr="001319E4" w:rsidRDefault="0022275A" w:rsidP="001F345A">
      <w:pPr>
        <w:widowControl w:val="0"/>
        <w:shd w:val="clear" w:color="auto" w:fill="FFFFFF"/>
        <w:spacing w:after="120"/>
        <w:jc w:val="both"/>
        <w:rPr>
          <w:rFonts w:ascii="Bookman Old Style" w:hAnsi="Bookman Old Style" w:cs="Calibri"/>
          <w:b/>
          <w:bCs/>
          <w:sz w:val="24"/>
          <w:szCs w:val="24"/>
        </w:rPr>
      </w:pPr>
      <w:r w:rsidRPr="30728479">
        <w:rPr>
          <w:rFonts w:ascii="Bookman Old Style" w:hAnsi="Bookman Old Style" w:cs="Calibri"/>
          <w:sz w:val="24"/>
          <w:szCs w:val="24"/>
        </w:rPr>
        <w:t>A tal riguardo nelle</w:t>
      </w:r>
      <w:r w:rsidR="001F345A" w:rsidRPr="30728479">
        <w:rPr>
          <w:rFonts w:ascii="Bookman Old Style" w:hAnsi="Bookman Old Style" w:cs="Calibri"/>
          <w:sz w:val="24"/>
          <w:szCs w:val="24"/>
        </w:rPr>
        <w:t xml:space="preserve"> premesse del Decreto è chiarito che “</w:t>
      </w:r>
      <w:r w:rsidR="001F345A" w:rsidRPr="30728479">
        <w:rPr>
          <w:rFonts w:ascii="Bookman Old Style" w:hAnsi="Bookman Old Style" w:cs="Calibri"/>
          <w:i/>
          <w:iCs/>
          <w:sz w:val="24"/>
          <w:szCs w:val="24"/>
        </w:rPr>
        <w:t>è fatto salvo il limite iniziale qualora il personale in servizio è inferiore al numero rilevato al 31.12.2018</w:t>
      </w:r>
      <w:r w:rsidR="001F345A" w:rsidRPr="30728479">
        <w:rPr>
          <w:rFonts w:ascii="Bookman Old Style" w:hAnsi="Bookman Old Style" w:cs="Calibri"/>
          <w:sz w:val="24"/>
          <w:szCs w:val="24"/>
        </w:rPr>
        <w:t xml:space="preserve">”. </w:t>
      </w:r>
      <w:r w:rsidRPr="30728479">
        <w:rPr>
          <w:rFonts w:ascii="Bookman Old Style" w:hAnsi="Bookman Old Style" w:cs="Calibri"/>
          <w:sz w:val="24"/>
          <w:szCs w:val="24"/>
        </w:rPr>
        <w:t>Di conseguenza</w:t>
      </w:r>
      <w:r w:rsidR="00185ECD" w:rsidRPr="30728479">
        <w:rPr>
          <w:rFonts w:ascii="Bookman Old Style" w:hAnsi="Bookman Old Style" w:cs="Calibri"/>
          <w:sz w:val="24"/>
          <w:szCs w:val="24"/>
        </w:rPr>
        <w:t>,</w:t>
      </w:r>
      <w:r w:rsidR="00D06782" w:rsidRPr="30728479">
        <w:rPr>
          <w:rFonts w:ascii="Bookman Old Style" w:hAnsi="Bookman Old Style" w:cs="Calibri"/>
          <w:sz w:val="24"/>
          <w:szCs w:val="24"/>
        </w:rPr>
        <w:t xml:space="preserve"> chiarisce la Circolare,</w:t>
      </w:r>
      <w:r w:rsidRPr="30728479">
        <w:rPr>
          <w:rFonts w:ascii="Bookman Old Style" w:hAnsi="Bookman Old Style" w:cs="Calibri"/>
          <w:sz w:val="24"/>
          <w:szCs w:val="24"/>
        </w:rPr>
        <w:t xml:space="preserve"> </w:t>
      </w:r>
      <w:r w:rsidRPr="30728479">
        <w:rPr>
          <w:rFonts w:ascii="Bookman Old Style" w:hAnsi="Bookman Old Style" w:cs="Calibri"/>
          <w:b/>
          <w:bCs/>
          <w:sz w:val="24"/>
          <w:szCs w:val="24"/>
        </w:rPr>
        <w:t>l’applicazione della nuova disciplina</w:t>
      </w:r>
      <w:r w:rsidR="001F345A" w:rsidRPr="30728479">
        <w:rPr>
          <w:rFonts w:ascii="Bookman Old Style" w:hAnsi="Bookman Old Style" w:cs="Calibri"/>
          <w:b/>
          <w:bCs/>
          <w:sz w:val="24"/>
          <w:szCs w:val="24"/>
        </w:rPr>
        <w:t xml:space="preserve"> non può avere in nessun caso effetti peggiorativi</w:t>
      </w:r>
      <w:r w:rsidR="00E33D86" w:rsidRPr="30728479">
        <w:rPr>
          <w:rFonts w:ascii="Bookman Old Style" w:hAnsi="Bookman Old Style" w:cs="Calibri"/>
          <w:b/>
          <w:bCs/>
          <w:sz w:val="24"/>
          <w:szCs w:val="24"/>
        </w:rPr>
        <w:t>, in caso di variazione in diminuzione del personale in servizio,</w:t>
      </w:r>
      <w:r w:rsidR="001F345A" w:rsidRPr="30728479">
        <w:rPr>
          <w:rFonts w:ascii="Bookman Old Style" w:hAnsi="Bookman Old Style" w:cs="Calibri"/>
          <w:b/>
          <w:bCs/>
          <w:sz w:val="24"/>
          <w:szCs w:val="24"/>
        </w:rPr>
        <w:t xml:space="preserve"> rispetto alle limitazioni vigenti per i medesimi trattamenti</w:t>
      </w:r>
      <w:r w:rsidR="005D68E1" w:rsidRPr="30728479">
        <w:rPr>
          <w:rFonts w:ascii="Bookman Old Style" w:hAnsi="Bookman Old Style" w:cs="Calibri"/>
          <w:b/>
          <w:bCs/>
          <w:sz w:val="24"/>
          <w:szCs w:val="24"/>
        </w:rPr>
        <w:t xml:space="preserve"> (ad esempio, qualora </w:t>
      </w:r>
      <w:r w:rsidR="001B1598" w:rsidRPr="30728479">
        <w:rPr>
          <w:rFonts w:ascii="Bookman Old Style" w:hAnsi="Bookman Old Style" w:cs="Calibri"/>
          <w:b/>
          <w:bCs/>
          <w:sz w:val="24"/>
          <w:szCs w:val="24"/>
        </w:rPr>
        <w:t xml:space="preserve">in sede di prima applicazione </w:t>
      </w:r>
      <w:r w:rsidR="005D68E1" w:rsidRPr="30728479">
        <w:rPr>
          <w:rFonts w:ascii="Bookman Old Style" w:hAnsi="Bookman Old Style" w:cs="Calibri"/>
          <w:b/>
          <w:bCs/>
          <w:sz w:val="24"/>
          <w:szCs w:val="24"/>
        </w:rPr>
        <w:t>il numero di cessazioni superi quello delle nuove assunzioni)</w:t>
      </w:r>
      <w:r w:rsidR="001F345A" w:rsidRPr="30728479">
        <w:rPr>
          <w:rFonts w:ascii="Bookman Old Style" w:hAnsi="Bookman Old Style" w:cs="Calibri"/>
          <w:b/>
          <w:bCs/>
          <w:sz w:val="24"/>
          <w:szCs w:val="24"/>
        </w:rPr>
        <w:t>.</w:t>
      </w:r>
      <w:r w:rsidR="009A4739" w:rsidRPr="30728479">
        <w:rPr>
          <w:rFonts w:ascii="Bookman Old Style" w:hAnsi="Bookman Old Style" w:cs="Calibri"/>
          <w:b/>
          <w:bCs/>
          <w:sz w:val="24"/>
          <w:szCs w:val="24"/>
        </w:rPr>
        <w:t xml:space="preserve"> </w:t>
      </w:r>
    </w:p>
    <w:p w14:paraId="46BDC34E" w14:textId="15718A23" w:rsidR="30728479" w:rsidRDefault="30728479" w:rsidP="30728479">
      <w:pPr>
        <w:shd w:val="clear" w:color="auto" w:fill="FFFFFF" w:themeFill="background1"/>
        <w:spacing w:after="120"/>
        <w:jc w:val="both"/>
        <w:rPr>
          <w:rFonts w:ascii="Bookman Old Style" w:hAnsi="Bookman Old Style" w:cs="Calibri"/>
          <w:b/>
          <w:bCs/>
          <w:sz w:val="24"/>
          <w:szCs w:val="24"/>
        </w:rPr>
      </w:pPr>
    </w:p>
    <w:p w14:paraId="1A5E0BEF" w14:textId="49D4FA11" w:rsidR="00864563" w:rsidRPr="001319E4" w:rsidRDefault="003A3604" w:rsidP="00E50B14">
      <w:pPr>
        <w:pStyle w:val="Paragrafoelenco"/>
        <w:widowControl w:val="0"/>
        <w:numPr>
          <w:ilvl w:val="1"/>
          <w:numId w:val="5"/>
        </w:numPr>
        <w:shd w:val="clear" w:color="auto" w:fill="FFFFFF"/>
        <w:spacing w:after="120"/>
        <w:jc w:val="both"/>
        <w:rPr>
          <w:rFonts w:ascii="Bookman Old Style" w:hAnsi="Bookman Old Style" w:cs="Calibri"/>
          <w:b/>
          <w:color w:val="222222"/>
          <w:sz w:val="24"/>
          <w:szCs w:val="24"/>
        </w:rPr>
      </w:pPr>
      <w:r w:rsidRPr="001319E4">
        <w:rPr>
          <w:rFonts w:ascii="Bookman Old Style" w:hAnsi="Bookman Old Style" w:cs="Calibri"/>
          <w:b/>
          <w:color w:val="222222"/>
          <w:sz w:val="24"/>
          <w:szCs w:val="24"/>
        </w:rPr>
        <w:t>Definizione di spese di personale e</w:t>
      </w:r>
      <w:r w:rsidR="00020A7C">
        <w:rPr>
          <w:rFonts w:ascii="Bookman Old Style" w:hAnsi="Bookman Old Style" w:cs="Calibri"/>
          <w:b/>
          <w:color w:val="222222"/>
          <w:sz w:val="24"/>
          <w:szCs w:val="24"/>
        </w:rPr>
        <w:t xml:space="preserve"> di</w:t>
      </w:r>
      <w:r w:rsidRPr="001319E4">
        <w:rPr>
          <w:rFonts w:ascii="Bookman Old Style" w:hAnsi="Bookman Old Style" w:cs="Calibri"/>
          <w:b/>
          <w:color w:val="222222"/>
          <w:sz w:val="24"/>
          <w:szCs w:val="24"/>
        </w:rPr>
        <w:t xml:space="preserve"> entrate correnti</w:t>
      </w:r>
    </w:p>
    <w:p w14:paraId="24FAD661" w14:textId="66C7E0DB" w:rsidR="00F573B4" w:rsidRPr="001319E4" w:rsidRDefault="00F573B4" w:rsidP="00F573B4">
      <w:pPr>
        <w:widowControl w:val="0"/>
        <w:shd w:val="clear" w:color="auto" w:fill="FFFFFF"/>
        <w:spacing w:after="120"/>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L’articolo 2 del Decreto</w:t>
      </w:r>
      <w:r w:rsidR="00964093" w:rsidRPr="001319E4">
        <w:rPr>
          <w:rFonts w:ascii="Bookman Old Style" w:hAnsi="Bookman Old Style" w:cs="Calibri"/>
          <w:bCs/>
          <w:color w:val="000000" w:themeColor="text1"/>
          <w:sz w:val="24"/>
          <w:szCs w:val="24"/>
        </w:rPr>
        <w:t xml:space="preserve"> </w:t>
      </w:r>
      <w:r w:rsidRPr="001319E4">
        <w:rPr>
          <w:rFonts w:ascii="Bookman Old Style" w:hAnsi="Bookman Old Style" w:cs="Calibri"/>
          <w:bCs/>
          <w:color w:val="000000" w:themeColor="text1"/>
          <w:sz w:val="24"/>
          <w:szCs w:val="24"/>
        </w:rPr>
        <w:t>elenca le voci</w:t>
      </w:r>
      <w:r w:rsidR="00100C2E" w:rsidRPr="001319E4">
        <w:rPr>
          <w:rFonts w:ascii="Bookman Old Style" w:hAnsi="Bookman Old Style" w:cs="Calibri"/>
          <w:bCs/>
          <w:color w:val="000000" w:themeColor="text1"/>
          <w:sz w:val="24"/>
          <w:szCs w:val="24"/>
        </w:rPr>
        <w:t xml:space="preserve">, puntualmente richiamate nella </w:t>
      </w:r>
      <w:r w:rsidR="001130B6" w:rsidRPr="001319E4">
        <w:rPr>
          <w:rFonts w:ascii="Bookman Old Style" w:hAnsi="Bookman Old Style" w:cs="Calibri"/>
          <w:bCs/>
          <w:color w:val="000000" w:themeColor="text1"/>
          <w:sz w:val="24"/>
          <w:szCs w:val="24"/>
        </w:rPr>
        <w:t>Circolare</w:t>
      </w:r>
      <w:r w:rsidR="00100C2E" w:rsidRPr="001319E4">
        <w:rPr>
          <w:rFonts w:ascii="Bookman Old Style" w:hAnsi="Bookman Old Style" w:cs="Calibri"/>
          <w:bCs/>
          <w:color w:val="000000" w:themeColor="text1"/>
          <w:sz w:val="24"/>
          <w:szCs w:val="24"/>
        </w:rPr>
        <w:t>,</w:t>
      </w:r>
      <w:r w:rsidRPr="001319E4">
        <w:rPr>
          <w:rFonts w:ascii="Bookman Old Style" w:hAnsi="Bookman Old Style" w:cs="Calibri"/>
          <w:bCs/>
          <w:color w:val="000000" w:themeColor="text1"/>
          <w:sz w:val="24"/>
          <w:szCs w:val="24"/>
        </w:rPr>
        <w:t xml:space="preserve"> che compongono i termini del rapporto spesa di personale/entrate correnti.</w:t>
      </w:r>
    </w:p>
    <w:p w14:paraId="45FF1264" w14:textId="523912C9" w:rsidR="00F573B4" w:rsidRPr="001319E4" w:rsidRDefault="00F573B4" w:rsidP="00F573B4">
      <w:pPr>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In particolare, per “</w:t>
      </w:r>
      <w:r w:rsidRPr="001319E4">
        <w:rPr>
          <w:rFonts w:ascii="Bookman Old Style" w:hAnsi="Bookman Old Style" w:cs="Calibri"/>
          <w:b/>
          <w:color w:val="000000" w:themeColor="text1"/>
          <w:sz w:val="24"/>
          <w:szCs w:val="24"/>
          <w:u w:val="single"/>
        </w:rPr>
        <w:t>Spesa del personale</w:t>
      </w:r>
      <w:r w:rsidRPr="001319E4">
        <w:rPr>
          <w:rFonts w:ascii="Bookman Old Style" w:hAnsi="Bookman Old Style" w:cs="Calibri"/>
          <w:bCs/>
          <w:color w:val="000000" w:themeColor="text1"/>
          <w:sz w:val="24"/>
          <w:szCs w:val="24"/>
        </w:rPr>
        <w:t xml:space="preserve">” si intendono gli impegni di competenza per spesa complessiva per tutto il personale dipendente a tempo indeterminato e determinato, per i rapporti di collaborazione coordinata e continuativa (ove ancora in essere), per la somministrazione di lavoro, per gli incarichi di cui all'articolo 110 del TUEL, nonché per tutti i soggetti a vario titolo utilizzati, senza estinzione del rapporto di pubblico impiego, in strutture e organismi variamente denominati partecipati o comunque facenti capo all’ente, al lordo degli oneri riflessi ed al netto dell’IRAP, </w:t>
      </w:r>
      <w:r w:rsidRPr="001319E4">
        <w:rPr>
          <w:rFonts w:ascii="Bookman Old Style" w:hAnsi="Bookman Old Style" w:cs="Calibri"/>
          <w:bCs/>
          <w:color w:val="000000" w:themeColor="text1"/>
          <w:sz w:val="24"/>
          <w:szCs w:val="24"/>
          <w:u w:val="single"/>
        </w:rPr>
        <w:t>come rilevati nell’</w:t>
      </w:r>
      <w:r w:rsidRPr="001319E4">
        <w:rPr>
          <w:rFonts w:ascii="Bookman Old Style" w:hAnsi="Bookman Old Style" w:cs="Calibri"/>
          <w:b/>
          <w:color w:val="000000" w:themeColor="text1"/>
          <w:sz w:val="24"/>
          <w:szCs w:val="24"/>
          <w:u w:val="single"/>
        </w:rPr>
        <w:t>ultimo rendiconto</w:t>
      </w:r>
      <w:r w:rsidRPr="001319E4">
        <w:rPr>
          <w:rFonts w:ascii="Bookman Old Style" w:hAnsi="Bookman Old Style" w:cs="Calibri"/>
          <w:bCs/>
          <w:color w:val="000000" w:themeColor="text1"/>
          <w:sz w:val="24"/>
          <w:szCs w:val="24"/>
          <w:u w:val="single"/>
        </w:rPr>
        <w:t xml:space="preserve"> della gestione approvato</w:t>
      </w:r>
      <w:r w:rsidRPr="001319E4">
        <w:rPr>
          <w:rFonts w:ascii="Bookman Old Style" w:hAnsi="Bookman Old Style" w:cs="Calibri"/>
          <w:bCs/>
          <w:color w:val="000000" w:themeColor="text1"/>
          <w:sz w:val="24"/>
          <w:szCs w:val="24"/>
        </w:rPr>
        <w:t xml:space="preserve">. </w:t>
      </w:r>
    </w:p>
    <w:p w14:paraId="4FA9FB7D" w14:textId="32A178DE" w:rsidR="00F573B4" w:rsidRPr="001319E4" w:rsidRDefault="00F573B4" w:rsidP="00F573B4">
      <w:pPr>
        <w:widowControl w:val="0"/>
        <w:shd w:val="clear" w:color="auto" w:fill="FFFFFF"/>
        <w:spacing w:after="120"/>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Le “</w:t>
      </w:r>
      <w:r w:rsidRPr="001319E4">
        <w:rPr>
          <w:rFonts w:ascii="Bookman Old Style" w:hAnsi="Bookman Old Style" w:cs="Calibri"/>
          <w:b/>
          <w:color w:val="000000" w:themeColor="text1"/>
          <w:sz w:val="24"/>
          <w:szCs w:val="24"/>
          <w:u w:val="single"/>
        </w:rPr>
        <w:t>Entrate correnti</w:t>
      </w:r>
      <w:r w:rsidRPr="001319E4">
        <w:rPr>
          <w:rFonts w:ascii="Bookman Old Style" w:hAnsi="Bookman Old Style" w:cs="Calibri"/>
          <w:bCs/>
          <w:color w:val="000000" w:themeColor="text1"/>
          <w:sz w:val="24"/>
          <w:szCs w:val="24"/>
        </w:rPr>
        <w:t xml:space="preserve">” sono individuate come la media degli accertamenti di competenza riferiti ai primi tre titoli delle entrate, relativi agli </w:t>
      </w:r>
      <w:r w:rsidRPr="001319E4">
        <w:rPr>
          <w:rFonts w:ascii="Bookman Old Style" w:hAnsi="Bookman Old Style" w:cs="Calibri"/>
          <w:b/>
          <w:color w:val="000000" w:themeColor="text1"/>
          <w:sz w:val="24"/>
          <w:szCs w:val="24"/>
        </w:rPr>
        <w:t>ultimi tre rendiconti approvati</w:t>
      </w:r>
      <w:r w:rsidRPr="001319E4">
        <w:rPr>
          <w:rFonts w:ascii="Bookman Old Style" w:hAnsi="Bookman Old Style" w:cs="Calibri"/>
          <w:bCs/>
          <w:color w:val="000000" w:themeColor="text1"/>
          <w:sz w:val="24"/>
          <w:szCs w:val="24"/>
        </w:rPr>
        <w:t xml:space="preserve">, considerati al netto del FCDE </w:t>
      </w:r>
      <w:r w:rsidR="001130B6" w:rsidRPr="001319E4">
        <w:rPr>
          <w:rFonts w:ascii="Bookman Old Style" w:hAnsi="Bookman Old Style" w:cs="Calibri"/>
          <w:bCs/>
          <w:color w:val="000000" w:themeColor="text1"/>
          <w:sz w:val="24"/>
          <w:szCs w:val="24"/>
        </w:rPr>
        <w:t xml:space="preserve">di parte corrente assestato </w:t>
      </w:r>
      <w:r w:rsidRPr="001319E4">
        <w:rPr>
          <w:rFonts w:ascii="Bookman Old Style" w:hAnsi="Bookman Old Style" w:cs="Calibri"/>
          <w:bCs/>
          <w:color w:val="000000" w:themeColor="text1"/>
          <w:sz w:val="24"/>
          <w:szCs w:val="24"/>
        </w:rPr>
        <w:t>nel bilancio di previsione relativo all’ultima annualità considerata rispetto alle tre annualità che concorrono alla media.</w:t>
      </w:r>
    </w:p>
    <w:p w14:paraId="7B7D252F" w14:textId="080AEB00" w:rsidR="008C16BA" w:rsidRPr="001319E4" w:rsidRDefault="00F30577" w:rsidP="00F30577">
      <w:pPr>
        <w:widowControl w:val="0"/>
        <w:shd w:val="clear" w:color="auto" w:fill="FFFFFF"/>
        <w:spacing w:after="120"/>
        <w:jc w:val="both"/>
        <w:rPr>
          <w:rFonts w:ascii="Bookman Old Style" w:hAnsi="Bookman Old Style" w:cs="Calibri"/>
          <w:bCs/>
          <w:sz w:val="24"/>
          <w:szCs w:val="24"/>
        </w:rPr>
      </w:pPr>
      <w:r w:rsidRPr="001319E4">
        <w:rPr>
          <w:rFonts w:ascii="Bookman Old Style" w:hAnsi="Bookman Old Style" w:cs="Calibri"/>
          <w:bCs/>
          <w:color w:val="000000" w:themeColor="text1"/>
          <w:sz w:val="24"/>
          <w:szCs w:val="24"/>
        </w:rPr>
        <w:t>I</w:t>
      </w:r>
      <w:r w:rsidR="00F573B4" w:rsidRPr="001319E4">
        <w:rPr>
          <w:rFonts w:ascii="Bookman Old Style" w:hAnsi="Bookman Old Style" w:cs="Calibri"/>
          <w:bCs/>
          <w:color w:val="000000" w:themeColor="text1"/>
          <w:sz w:val="24"/>
          <w:szCs w:val="24"/>
        </w:rPr>
        <w:t xml:space="preserve"> Comuni che hanno optato per l’applicazione della </w:t>
      </w:r>
      <w:r w:rsidR="00F573B4" w:rsidRPr="00020A7C">
        <w:rPr>
          <w:rFonts w:ascii="Bookman Old Style" w:hAnsi="Bookman Old Style" w:cs="Calibri"/>
          <w:bCs/>
          <w:color w:val="000000" w:themeColor="text1"/>
          <w:sz w:val="24"/>
          <w:szCs w:val="24"/>
          <w:u w:val="single"/>
        </w:rPr>
        <w:t>tariffa rifiuti corrispettiva</w:t>
      </w:r>
      <w:r w:rsidR="00F573B4" w:rsidRPr="001319E4">
        <w:rPr>
          <w:rFonts w:ascii="Bookman Old Style" w:hAnsi="Bookman Old Style" w:cs="Calibri"/>
          <w:bCs/>
          <w:color w:val="000000" w:themeColor="text1"/>
          <w:sz w:val="24"/>
          <w:szCs w:val="24"/>
        </w:rPr>
        <w:t xml:space="preserve"> secondo l’articolo 1, comma 668, della legge n.147/2013 e</w:t>
      </w:r>
      <w:r w:rsidR="00185ECD" w:rsidRPr="001319E4">
        <w:rPr>
          <w:rFonts w:ascii="Bookman Old Style" w:hAnsi="Bookman Old Style" w:cs="Calibri"/>
          <w:bCs/>
          <w:color w:val="000000" w:themeColor="text1"/>
          <w:sz w:val="24"/>
          <w:szCs w:val="24"/>
        </w:rPr>
        <w:t>,</w:t>
      </w:r>
      <w:r w:rsidR="00F573B4" w:rsidRPr="001319E4">
        <w:rPr>
          <w:rFonts w:ascii="Bookman Old Style" w:hAnsi="Bookman Old Style" w:cs="Calibri"/>
          <w:bCs/>
          <w:color w:val="000000" w:themeColor="text1"/>
          <w:sz w:val="24"/>
          <w:szCs w:val="24"/>
        </w:rPr>
        <w:t xml:space="preserve"> </w:t>
      </w:r>
      <w:r w:rsidRPr="001319E4">
        <w:rPr>
          <w:rFonts w:ascii="Bookman Old Style" w:hAnsi="Bookman Old Style" w:cs="Calibri"/>
          <w:bCs/>
          <w:color w:val="000000" w:themeColor="text1"/>
          <w:sz w:val="24"/>
          <w:szCs w:val="24"/>
        </w:rPr>
        <w:t xml:space="preserve">di </w:t>
      </w:r>
      <w:r w:rsidR="00F573B4" w:rsidRPr="001319E4">
        <w:rPr>
          <w:rFonts w:ascii="Bookman Old Style" w:hAnsi="Bookman Old Style" w:cs="Calibri"/>
          <w:bCs/>
          <w:color w:val="000000" w:themeColor="text1"/>
          <w:sz w:val="24"/>
          <w:szCs w:val="24"/>
        </w:rPr>
        <w:t>conseguenza</w:t>
      </w:r>
      <w:r w:rsidRPr="001319E4">
        <w:rPr>
          <w:rFonts w:ascii="Bookman Old Style" w:hAnsi="Bookman Old Style" w:cs="Calibri"/>
          <w:bCs/>
          <w:color w:val="000000" w:themeColor="text1"/>
          <w:sz w:val="24"/>
          <w:szCs w:val="24"/>
        </w:rPr>
        <w:t>,</w:t>
      </w:r>
      <w:r w:rsidR="00F573B4" w:rsidRPr="001319E4">
        <w:rPr>
          <w:rFonts w:ascii="Bookman Old Style" w:hAnsi="Bookman Old Style" w:cs="Calibri"/>
          <w:bCs/>
          <w:color w:val="000000" w:themeColor="text1"/>
          <w:sz w:val="24"/>
          <w:szCs w:val="24"/>
        </w:rPr>
        <w:t xml:space="preserve"> </w:t>
      </w:r>
      <w:r w:rsidRPr="001319E4">
        <w:rPr>
          <w:rFonts w:ascii="Bookman Old Style" w:hAnsi="Bookman Old Style" w:cs="Calibri"/>
          <w:bCs/>
          <w:color w:val="000000" w:themeColor="text1"/>
          <w:sz w:val="24"/>
          <w:szCs w:val="24"/>
        </w:rPr>
        <w:t xml:space="preserve">hanno </w:t>
      </w:r>
      <w:r w:rsidR="00F573B4" w:rsidRPr="001319E4">
        <w:rPr>
          <w:rFonts w:ascii="Bookman Old Style" w:hAnsi="Bookman Old Style" w:cs="Calibri"/>
          <w:bCs/>
          <w:color w:val="000000" w:themeColor="text1"/>
          <w:sz w:val="24"/>
          <w:szCs w:val="24"/>
        </w:rPr>
        <w:t xml:space="preserve">attribuito al gestore sia l’entrata da Tari corrispettiva sia la relativa spesa, </w:t>
      </w:r>
      <w:r w:rsidRPr="001319E4">
        <w:rPr>
          <w:rFonts w:ascii="Bookman Old Style" w:hAnsi="Bookman Old Style" w:cs="Calibri"/>
          <w:bCs/>
          <w:color w:val="000000" w:themeColor="text1"/>
          <w:sz w:val="24"/>
          <w:szCs w:val="24"/>
        </w:rPr>
        <w:t xml:space="preserve">considerano </w:t>
      </w:r>
      <w:r w:rsidR="00F573B4" w:rsidRPr="001319E4">
        <w:rPr>
          <w:rFonts w:ascii="Bookman Old Style" w:hAnsi="Bookman Old Style" w:cs="Calibri"/>
          <w:bCs/>
          <w:color w:val="000000" w:themeColor="text1"/>
          <w:sz w:val="24"/>
          <w:szCs w:val="24"/>
        </w:rPr>
        <w:t>il costo del servizio previsto nel piano economico finanziario tra le entrate correnti ai fini della determinazione del valore soglia, al netto del Fondo svalutazione crediti riconducibile al piano finanziario dell’anno considerato</w:t>
      </w:r>
      <w:r w:rsidR="005F37B0" w:rsidRPr="001319E4">
        <w:rPr>
          <w:rFonts w:ascii="Bookman Old Style" w:hAnsi="Bookman Old Style" w:cs="Calibri"/>
          <w:bCs/>
          <w:color w:val="000000" w:themeColor="text1"/>
          <w:sz w:val="24"/>
          <w:szCs w:val="24"/>
        </w:rPr>
        <w:t xml:space="preserve"> (che svolge, in questo caso, la funzione di sterilizzare le entrate di dubbia esigibilità</w:t>
      </w:r>
      <w:r w:rsidR="00A12AE9" w:rsidRPr="001319E4">
        <w:rPr>
          <w:rFonts w:ascii="Bookman Old Style" w:hAnsi="Bookman Old Style" w:cs="Calibri"/>
          <w:bCs/>
          <w:color w:val="000000" w:themeColor="text1"/>
          <w:sz w:val="24"/>
          <w:szCs w:val="24"/>
        </w:rPr>
        <w:t>,</w:t>
      </w:r>
      <w:r w:rsidR="005F37B0" w:rsidRPr="001319E4">
        <w:rPr>
          <w:rFonts w:ascii="Bookman Old Style" w:hAnsi="Bookman Old Style" w:cs="Calibri"/>
          <w:bCs/>
          <w:color w:val="000000" w:themeColor="text1"/>
          <w:sz w:val="24"/>
          <w:szCs w:val="24"/>
        </w:rPr>
        <w:t xml:space="preserve"> assegnata al FCDE nel caso ordinario della Tari </w:t>
      </w:r>
      <w:r w:rsidR="007B0619" w:rsidRPr="001319E4">
        <w:rPr>
          <w:rFonts w:ascii="Bookman Old Style" w:hAnsi="Bookman Old Style" w:cs="Calibri"/>
          <w:bCs/>
          <w:color w:val="000000" w:themeColor="text1"/>
          <w:sz w:val="24"/>
          <w:szCs w:val="24"/>
        </w:rPr>
        <w:t>accertata</w:t>
      </w:r>
      <w:r w:rsidR="005F37B0" w:rsidRPr="001319E4">
        <w:rPr>
          <w:rFonts w:ascii="Bookman Old Style" w:hAnsi="Bookman Old Style" w:cs="Calibri"/>
          <w:bCs/>
          <w:color w:val="000000" w:themeColor="text1"/>
          <w:sz w:val="24"/>
          <w:szCs w:val="24"/>
        </w:rPr>
        <w:t xml:space="preserve"> in bilancio</w:t>
      </w:r>
      <w:r w:rsidR="005F37B0" w:rsidRPr="001319E4">
        <w:rPr>
          <w:rFonts w:ascii="Bookman Old Style" w:hAnsi="Bookman Old Style" w:cs="Calibri"/>
          <w:bCs/>
          <w:sz w:val="24"/>
          <w:szCs w:val="24"/>
        </w:rPr>
        <w:t>)</w:t>
      </w:r>
      <w:r w:rsidR="00F573B4" w:rsidRPr="001319E4">
        <w:rPr>
          <w:rFonts w:ascii="Bookman Old Style" w:hAnsi="Bookman Old Style" w:cs="Calibri"/>
          <w:bCs/>
          <w:sz w:val="24"/>
          <w:szCs w:val="24"/>
        </w:rPr>
        <w:t>.</w:t>
      </w:r>
      <w:r w:rsidRPr="001319E4">
        <w:rPr>
          <w:rFonts w:ascii="Bookman Old Style" w:hAnsi="Bookman Old Style" w:cs="Calibri"/>
          <w:bCs/>
          <w:sz w:val="24"/>
          <w:szCs w:val="24"/>
        </w:rPr>
        <w:t xml:space="preserve"> Su questo </w:t>
      </w:r>
      <w:r w:rsidR="00B425C3" w:rsidRPr="001319E4">
        <w:rPr>
          <w:rFonts w:ascii="Bookman Old Style" w:hAnsi="Bookman Old Style" w:cs="Calibri"/>
          <w:bCs/>
          <w:sz w:val="24"/>
          <w:szCs w:val="24"/>
        </w:rPr>
        <w:t>punto</w:t>
      </w:r>
      <w:r w:rsidR="002B794F" w:rsidRPr="001319E4">
        <w:rPr>
          <w:rFonts w:ascii="Bookman Old Style" w:hAnsi="Bookman Old Style" w:cs="Calibri"/>
          <w:bCs/>
          <w:sz w:val="24"/>
          <w:szCs w:val="24"/>
        </w:rPr>
        <w:t>, a seguito di una decisa richiesta dell’ANCI,</w:t>
      </w:r>
      <w:r w:rsidR="00B425C3" w:rsidRPr="001319E4">
        <w:rPr>
          <w:rFonts w:ascii="Bookman Old Style" w:hAnsi="Bookman Old Style" w:cs="Calibri"/>
          <w:bCs/>
          <w:sz w:val="24"/>
          <w:szCs w:val="24"/>
        </w:rPr>
        <w:t xml:space="preserve"> </w:t>
      </w:r>
      <w:r w:rsidRPr="001319E4">
        <w:rPr>
          <w:rFonts w:ascii="Bookman Old Style" w:hAnsi="Bookman Old Style" w:cs="Calibri"/>
          <w:bCs/>
          <w:sz w:val="24"/>
          <w:szCs w:val="24"/>
        </w:rPr>
        <w:t xml:space="preserve">la </w:t>
      </w:r>
      <w:r w:rsidR="001F4A45" w:rsidRPr="001319E4">
        <w:rPr>
          <w:rFonts w:ascii="Bookman Old Style" w:hAnsi="Bookman Old Style" w:cs="Calibri"/>
          <w:bCs/>
          <w:sz w:val="24"/>
          <w:szCs w:val="24"/>
        </w:rPr>
        <w:t>C</w:t>
      </w:r>
      <w:r w:rsidRPr="001319E4">
        <w:rPr>
          <w:rFonts w:ascii="Bookman Old Style" w:hAnsi="Bookman Old Style" w:cs="Calibri"/>
          <w:bCs/>
          <w:sz w:val="24"/>
          <w:szCs w:val="24"/>
        </w:rPr>
        <w:t xml:space="preserve">ircolare si </w:t>
      </w:r>
      <w:r w:rsidR="002B794F" w:rsidRPr="001319E4">
        <w:rPr>
          <w:rFonts w:ascii="Bookman Old Style" w:hAnsi="Bookman Old Style" w:cs="Calibri"/>
          <w:bCs/>
          <w:sz w:val="24"/>
          <w:szCs w:val="24"/>
        </w:rPr>
        <w:t>è espressa</w:t>
      </w:r>
      <w:r w:rsidRPr="001319E4">
        <w:rPr>
          <w:rFonts w:ascii="Bookman Old Style" w:hAnsi="Bookman Old Style" w:cs="Calibri"/>
          <w:bCs/>
          <w:sz w:val="24"/>
          <w:szCs w:val="24"/>
        </w:rPr>
        <w:t xml:space="preserve"> con chiarezza, evitando il verificarsi di una macroscopica disparità di trattamento</w:t>
      </w:r>
      <w:r w:rsidR="00B425C3" w:rsidRPr="001319E4">
        <w:rPr>
          <w:rFonts w:ascii="Bookman Old Style" w:hAnsi="Bookman Old Style" w:cs="Calibri"/>
          <w:bCs/>
          <w:sz w:val="24"/>
          <w:szCs w:val="24"/>
        </w:rPr>
        <w:t>.</w:t>
      </w:r>
    </w:p>
    <w:p w14:paraId="6BC1A225" w14:textId="77777777" w:rsidR="001F4A45" w:rsidRPr="001319E4" w:rsidRDefault="001F4A45" w:rsidP="00F30577">
      <w:pPr>
        <w:widowControl w:val="0"/>
        <w:shd w:val="clear" w:color="auto" w:fill="FFFFFF"/>
        <w:spacing w:after="120"/>
        <w:jc w:val="both"/>
        <w:rPr>
          <w:rFonts w:ascii="Bookman Old Style" w:hAnsi="Bookman Old Style" w:cs="Calibri"/>
          <w:bCs/>
          <w:sz w:val="24"/>
          <w:szCs w:val="24"/>
        </w:rPr>
      </w:pPr>
    </w:p>
    <w:p w14:paraId="3D759936" w14:textId="6C2CEA09" w:rsidR="00864563" w:rsidRPr="00020A7C" w:rsidRDefault="00864563" w:rsidP="00A4180C">
      <w:pPr>
        <w:pStyle w:val="Paragrafoelenco"/>
        <w:keepNext/>
        <w:numPr>
          <w:ilvl w:val="1"/>
          <w:numId w:val="5"/>
        </w:numPr>
        <w:shd w:val="clear" w:color="auto" w:fill="FFFFFF"/>
        <w:spacing w:after="120"/>
        <w:ind w:left="1077"/>
        <w:jc w:val="both"/>
        <w:rPr>
          <w:rFonts w:ascii="Bookman Old Style" w:hAnsi="Bookman Old Style" w:cs="Calibri"/>
          <w:b/>
          <w:color w:val="222222"/>
          <w:sz w:val="24"/>
          <w:szCs w:val="24"/>
          <w:u w:val="single"/>
        </w:rPr>
      </w:pPr>
      <w:r w:rsidRPr="00020A7C">
        <w:rPr>
          <w:rFonts w:ascii="Bookman Old Style" w:hAnsi="Bookman Old Style" w:cs="Calibri"/>
          <w:b/>
          <w:color w:val="222222"/>
          <w:sz w:val="24"/>
          <w:szCs w:val="24"/>
          <w:u w:val="single"/>
        </w:rPr>
        <w:t>Individuazione delle fasce demografiche e dei relativi valori-soglia</w:t>
      </w:r>
      <w:r w:rsidR="00B35BD3" w:rsidRPr="00020A7C">
        <w:rPr>
          <w:rFonts w:ascii="Bookman Old Style" w:hAnsi="Bookman Old Style" w:cs="Calibri"/>
          <w:b/>
          <w:color w:val="222222"/>
          <w:sz w:val="24"/>
          <w:szCs w:val="24"/>
          <w:u w:val="single"/>
        </w:rPr>
        <w:t xml:space="preserve">: </w:t>
      </w:r>
      <w:r w:rsidR="001664E9" w:rsidRPr="00020A7C">
        <w:rPr>
          <w:rFonts w:ascii="Bookman Old Style" w:hAnsi="Bookman Old Style" w:cs="Calibri"/>
          <w:b/>
          <w:color w:val="222222"/>
          <w:sz w:val="24"/>
          <w:szCs w:val="24"/>
          <w:u w:val="single"/>
        </w:rPr>
        <w:t>casi applicativi</w:t>
      </w:r>
    </w:p>
    <w:p w14:paraId="3E68D17F" w14:textId="6BB3DB32" w:rsidR="00864563" w:rsidRPr="001319E4" w:rsidRDefault="00864563" w:rsidP="00E50B14">
      <w:pPr>
        <w:widowControl w:val="0"/>
        <w:shd w:val="clear" w:color="auto" w:fill="FFFFFF"/>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Si tratta dell’aspetto più delicato del Decreto attuativo. In sede di confronto tecnico l’ANCI ha</w:t>
      </w:r>
      <w:r w:rsidR="007A73A5" w:rsidRPr="001319E4">
        <w:rPr>
          <w:rFonts w:ascii="Bookman Old Style" w:hAnsi="Bookman Old Style" w:cs="Calibri"/>
          <w:bCs/>
          <w:color w:val="222222"/>
          <w:sz w:val="24"/>
          <w:szCs w:val="24"/>
        </w:rPr>
        <w:t xml:space="preserve"> evidenziato la presenza di</w:t>
      </w:r>
      <w:r w:rsidRPr="001319E4">
        <w:rPr>
          <w:rFonts w:ascii="Bookman Old Style" w:hAnsi="Bookman Old Style" w:cs="Calibri"/>
          <w:bCs/>
          <w:color w:val="222222"/>
          <w:sz w:val="24"/>
          <w:szCs w:val="24"/>
        </w:rPr>
        <w:t xml:space="preserve"> </w:t>
      </w:r>
      <w:r w:rsidR="007A73A5" w:rsidRPr="001319E4">
        <w:rPr>
          <w:rFonts w:ascii="Bookman Old Style" w:hAnsi="Bookman Old Style" w:cs="Calibri"/>
          <w:bCs/>
          <w:color w:val="222222"/>
          <w:sz w:val="24"/>
          <w:szCs w:val="24"/>
        </w:rPr>
        <w:t>molteplici elementi di differenziazione che caratterizzano ciascun</w:t>
      </w:r>
      <w:r w:rsidR="000B1768" w:rsidRPr="001319E4">
        <w:rPr>
          <w:rFonts w:ascii="Bookman Old Style" w:hAnsi="Bookman Old Style" w:cs="Calibri"/>
          <w:bCs/>
          <w:color w:val="222222"/>
          <w:sz w:val="24"/>
          <w:szCs w:val="24"/>
        </w:rPr>
        <w:t xml:space="preserve"> Comune</w:t>
      </w:r>
      <w:r w:rsidR="007A73A5" w:rsidRPr="001319E4">
        <w:rPr>
          <w:rFonts w:ascii="Bookman Old Style" w:hAnsi="Bookman Old Style" w:cs="Calibri"/>
          <w:bCs/>
          <w:color w:val="222222"/>
          <w:sz w:val="24"/>
          <w:szCs w:val="24"/>
        </w:rPr>
        <w:t xml:space="preserve"> (es.: finanziamento di funzioni delegate da parte di altri livelli di governo; funzioni particolari svolte dai Comuni sulla base di normative regionali speciali</w:t>
      </w:r>
      <w:r w:rsidR="00E47C9C" w:rsidRPr="001319E4">
        <w:rPr>
          <w:rFonts w:ascii="Bookman Old Style" w:hAnsi="Bookman Old Style" w:cs="Calibri"/>
          <w:bCs/>
          <w:color w:val="222222"/>
          <w:sz w:val="24"/>
          <w:szCs w:val="24"/>
        </w:rPr>
        <w:t>, differente grado di esternalizzazione/internalizzazione dei servizi,</w:t>
      </w:r>
      <w:r w:rsidR="007A73A5" w:rsidRPr="001319E4">
        <w:rPr>
          <w:rFonts w:ascii="Bookman Old Style" w:hAnsi="Bookman Old Style" w:cs="Calibri"/>
          <w:bCs/>
          <w:color w:val="222222"/>
          <w:sz w:val="24"/>
          <w:szCs w:val="24"/>
        </w:rPr>
        <w:t xml:space="preserve"> etc.), </w:t>
      </w:r>
      <w:r w:rsidR="00AA5C7B" w:rsidRPr="001319E4">
        <w:rPr>
          <w:rFonts w:ascii="Bookman Old Style" w:hAnsi="Bookman Old Style" w:cs="Calibri"/>
          <w:bCs/>
          <w:color w:val="222222"/>
          <w:sz w:val="24"/>
          <w:szCs w:val="24"/>
        </w:rPr>
        <w:t>avanzando</w:t>
      </w:r>
      <w:r w:rsidR="00E47C9C" w:rsidRPr="001319E4">
        <w:rPr>
          <w:rFonts w:ascii="Bookman Old Style" w:hAnsi="Bookman Old Style" w:cs="Calibri"/>
          <w:bCs/>
          <w:color w:val="222222"/>
          <w:sz w:val="24"/>
          <w:szCs w:val="24"/>
        </w:rPr>
        <w:t xml:space="preserve"> di conseguenza </w:t>
      </w:r>
      <w:r w:rsidR="00AA5C7B" w:rsidRPr="001319E4">
        <w:rPr>
          <w:rFonts w:ascii="Bookman Old Style" w:hAnsi="Bookman Old Style" w:cs="Calibri"/>
          <w:bCs/>
          <w:color w:val="222222"/>
          <w:sz w:val="24"/>
          <w:szCs w:val="24"/>
        </w:rPr>
        <w:t>la necessità di individuare</w:t>
      </w:r>
      <w:r w:rsidR="00B027C1" w:rsidRPr="001319E4">
        <w:rPr>
          <w:rFonts w:ascii="Bookman Old Style" w:hAnsi="Bookman Old Style" w:cs="Calibri"/>
          <w:bCs/>
          <w:color w:val="222222"/>
          <w:sz w:val="24"/>
          <w:szCs w:val="24"/>
        </w:rPr>
        <w:t xml:space="preserve"> valori-soglia sufficientemente capienti da assorbire </w:t>
      </w:r>
      <w:r w:rsidR="008C16BA" w:rsidRPr="001319E4">
        <w:rPr>
          <w:rFonts w:ascii="Bookman Old Style" w:hAnsi="Bookman Old Style" w:cs="Calibri"/>
          <w:bCs/>
          <w:color w:val="222222"/>
          <w:sz w:val="24"/>
          <w:szCs w:val="24"/>
        </w:rPr>
        <w:t>le diversità di modelli e fattispecie organizzative tipiche del comparto</w:t>
      </w:r>
      <w:r w:rsidR="00B027C1" w:rsidRPr="001319E4">
        <w:rPr>
          <w:rFonts w:ascii="Bookman Old Style" w:hAnsi="Bookman Old Style" w:cs="Calibri"/>
          <w:bCs/>
          <w:color w:val="222222"/>
          <w:sz w:val="24"/>
          <w:szCs w:val="24"/>
        </w:rPr>
        <w:t>.</w:t>
      </w:r>
    </w:p>
    <w:p w14:paraId="39F40921" w14:textId="6F0C908F" w:rsidR="00B027C1" w:rsidRPr="001319E4" w:rsidRDefault="00B027C1" w:rsidP="00E50B14">
      <w:pPr>
        <w:widowControl w:val="0"/>
        <w:shd w:val="clear" w:color="auto" w:fill="FFFFFF"/>
        <w:spacing w:after="120"/>
        <w:jc w:val="both"/>
        <w:rPr>
          <w:rFonts w:ascii="Bookman Old Style" w:hAnsi="Bookman Old Style" w:cs="Calibri"/>
          <w:bCs/>
          <w:strike/>
          <w:color w:val="222222"/>
          <w:sz w:val="24"/>
          <w:szCs w:val="24"/>
        </w:rPr>
      </w:pPr>
      <w:r w:rsidRPr="001319E4">
        <w:rPr>
          <w:rFonts w:ascii="Bookman Old Style" w:hAnsi="Bookman Old Style" w:cs="Calibri"/>
          <w:bCs/>
          <w:color w:val="222222"/>
          <w:sz w:val="24"/>
          <w:szCs w:val="24"/>
        </w:rPr>
        <w:t xml:space="preserve">Per </w:t>
      </w:r>
      <w:r w:rsidR="00AA7B93" w:rsidRPr="001319E4">
        <w:rPr>
          <w:rFonts w:ascii="Bookman Old Style" w:hAnsi="Bookman Old Style" w:cs="Calibri"/>
          <w:bCs/>
          <w:color w:val="222222"/>
          <w:sz w:val="24"/>
          <w:szCs w:val="24"/>
        </w:rPr>
        <w:t>soddisfare</w:t>
      </w:r>
      <w:r w:rsidRPr="001319E4">
        <w:rPr>
          <w:rFonts w:ascii="Bookman Old Style" w:hAnsi="Bookman Old Style" w:cs="Calibri"/>
          <w:bCs/>
          <w:color w:val="222222"/>
          <w:sz w:val="24"/>
          <w:szCs w:val="24"/>
        </w:rPr>
        <w:t xml:space="preserve"> tale esigenza</w:t>
      </w:r>
      <w:r w:rsidR="005D177D" w:rsidRPr="001319E4">
        <w:rPr>
          <w:rFonts w:ascii="Bookman Old Style" w:hAnsi="Bookman Old Style" w:cs="Calibri"/>
          <w:bCs/>
          <w:color w:val="222222"/>
          <w:sz w:val="24"/>
          <w:szCs w:val="24"/>
        </w:rPr>
        <w:t>,</w:t>
      </w:r>
      <w:r w:rsidRPr="001319E4">
        <w:rPr>
          <w:rFonts w:ascii="Bookman Old Style" w:hAnsi="Bookman Old Style" w:cs="Calibri"/>
          <w:bCs/>
          <w:color w:val="222222"/>
          <w:sz w:val="24"/>
          <w:szCs w:val="24"/>
        </w:rPr>
        <w:t xml:space="preserve"> </w:t>
      </w:r>
      <w:r w:rsidR="00292DC6" w:rsidRPr="001319E4">
        <w:rPr>
          <w:rFonts w:ascii="Bookman Old Style" w:hAnsi="Bookman Old Style" w:cs="Calibri"/>
          <w:bCs/>
          <w:color w:val="222222"/>
          <w:sz w:val="24"/>
          <w:szCs w:val="24"/>
        </w:rPr>
        <w:t>il Decreto</w:t>
      </w:r>
      <w:r w:rsidR="00042D03" w:rsidRPr="001319E4">
        <w:rPr>
          <w:rFonts w:ascii="Bookman Old Style" w:hAnsi="Bookman Old Style" w:cs="Calibri"/>
          <w:bCs/>
          <w:color w:val="222222"/>
          <w:sz w:val="24"/>
          <w:szCs w:val="24"/>
        </w:rPr>
        <w:t xml:space="preserve"> e la </w:t>
      </w:r>
      <w:r w:rsidR="00BC2BA3" w:rsidRPr="001319E4">
        <w:rPr>
          <w:rFonts w:ascii="Bookman Old Style" w:hAnsi="Bookman Old Style" w:cs="Calibri"/>
          <w:bCs/>
          <w:color w:val="222222"/>
          <w:sz w:val="24"/>
          <w:szCs w:val="24"/>
        </w:rPr>
        <w:t>C</w:t>
      </w:r>
      <w:r w:rsidR="00042D03" w:rsidRPr="001319E4">
        <w:rPr>
          <w:rFonts w:ascii="Bookman Old Style" w:hAnsi="Bookman Old Style" w:cs="Calibri"/>
          <w:bCs/>
          <w:color w:val="222222"/>
          <w:sz w:val="24"/>
          <w:szCs w:val="24"/>
        </w:rPr>
        <w:t>ircolare applicativa individuano</w:t>
      </w:r>
      <w:r w:rsidRPr="001319E4">
        <w:rPr>
          <w:rFonts w:ascii="Bookman Old Style" w:hAnsi="Bookman Old Style" w:cs="Calibri"/>
          <w:bCs/>
          <w:color w:val="222222"/>
          <w:sz w:val="24"/>
          <w:szCs w:val="24"/>
        </w:rPr>
        <w:t xml:space="preserve"> due distinte soglie, in relazione alle quali sono ipotizzabili </w:t>
      </w:r>
      <w:r w:rsidR="00E47C9C" w:rsidRPr="001319E4">
        <w:rPr>
          <w:rFonts w:ascii="Bookman Old Style" w:hAnsi="Bookman Old Style" w:cs="Calibri"/>
          <w:bCs/>
          <w:color w:val="222222"/>
          <w:sz w:val="24"/>
          <w:szCs w:val="24"/>
        </w:rPr>
        <w:t xml:space="preserve">le </w:t>
      </w:r>
      <w:r w:rsidRPr="001319E4">
        <w:rPr>
          <w:rFonts w:ascii="Bookman Old Style" w:hAnsi="Bookman Old Style" w:cs="Calibri"/>
          <w:bCs/>
          <w:color w:val="222222"/>
          <w:sz w:val="24"/>
          <w:szCs w:val="24"/>
        </w:rPr>
        <w:t xml:space="preserve">tre </w:t>
      </w:r>
      <w:r w:rsidR="00042D03" w:rsidRPr="001319E4">
        <w:rPr>
          <w:rFonts w:ascii="Bookman Old Style" w:hAnsi="Bookman Old Style" w:cs="Calibri"/>
          <w:bCs/>
          <w:color w:val="222222"/>
          <w:sz w:val="24"/>
          <w:szCs w:val="24"/>
        </w:rPr>
        <w:t xml:space="preserve">fattispecie </w:t>
      </w:r>
      <w:r w:rsidR="00292DC6" w:rsidRPr="001319E4">
        <w:rPr>
          <w:rFonts w:ascii="Bookman Old Style" w:hAnsi="Bookman Old Style" w:cs="Calibri"/>
          <w:bCs/>
          <w:color w:val="222222"/>
          <w:sz w:val="24"/>
          <w:szCs w:val="24"/>
        </w:rPr>
        <w:t>schematicamente rappresentate in premessa</w:t>
      </w:r>
      <w:r w:rsidR="00042D03" w:rsidRPr="001319E4">
        <w:rPr>
          <w:rFonts w:ascii="Bookman Old Style" w:hAnsi="Bookman Old Style" w:cs="Calibri"/>
          <w:bCs/>
          <w:color w:val="222222"/>
          <w:sz w:val="24"/>
          <w:szCs w:val="24"/>
        </w:rPr>
        <w:t xml:space="preserve"> e </w:t>
      </w:r>
      <w:r w:rsidR="00E47C9C" w:rsidRPr="001319E4">
        <w:rPr>
          <w:rFonts w:ascii="Bookman Old Style" w:hAnsi="Bookman Old Style" w:cs="Calibri"/>
          <w:bCs/>
          <w:color w:val="222222"/>
          <w:sz w:val="24"/>
          <w:szCs w:val="24"/>
        </w:rPr>
        <w:t xml:space="preserve">di seguito </w:t>
      </w:r>
      <w:r w:rsidR="00292DC6" w:rsidRPr="001319E4">
        <w:rPr>
          <w:rFonts w:ascii="Bookman Old Style" w:hAnsi="Bookman Old Style" w:cs="Calibri"/>
          <w:bCs/>
          <w:color w:val="222222"/>
          <w:sz w:val="24"/>
          <w:szCs w:val="24"/>
        </w:rPr>
        <w:t>riportate in dettaglio</w:t>
      </w:r>
      <w:r w:rsidR="00042D03" w:rsidRPr="001319E4">
        <w:rPr>
          <w:rFonts w:ascii="Bookman Old Style" w:hAnsi="Bookman Old Style" w:cs="Calibri"/>
          <w:bCs/>
          <w:color w:val="222222"/>
          <w:sz w:val="24"/>
          <w:szCs w:val="24"/>
        </w:rPr>
        <w:t>.</w:t>
      </w:r>
      <w:r w:rsidR="00AA7B93" w:rsidRPr="001319E4">
        <w:rPr>
          <w:rFonts w:ascii="Bookman Old Style" w:hAnsi="Bookman Old Style" w:cs="Calibri"/>
          <w:bCs/>
          <w:color w:val="222222"/>
          <w:sz w:val="24"/>
          <w:szCs w:val="24"/>
        </w:rPr>
        <w:t xml:space="preserve"> </w:t>
      </w:r>
    </w:p>
    <w:p w14:paraId="2C83F88F" w14:textId="1C1AAB9A" w:rsidR="00292DC6" w:rsidRPr="001319E4" w:rsidRDefault="00292DC6" w:rsidP="00292DC6">
      <w:pPr>
        <w:pStyle w:val="Paragrafoelenco"/>
        <w:widowControl w:val="0"/>
        <w:numPr>
          <w:ilvl w:val="0"/>
          <w:numId w:val="31"/>
        </w:numPr>
        <w:shd w:val="clear" w:color="auto" w:fill="FFFFFF"/>
        <w:suppressAutoHyphens w:val="0"/>
        <w:spacing w:after="120"/>
        <w:jc w:val="both"/>
        <w:rPr>
          <w:rFonts w:ascii="Bookman Old Style" w:hAnsi="Bookman Old Style" w:cs="Calibri"/>
          <w:b/>
          <w:color w:val="222222"/>
          <w:sz w:val="24"/>
          <w:szCs w:val="24"/>
        </w:rPr>
      </w:pPr>
      <w:r w:rsidRPr="001319E4">
        <w:rPr>
          <w:rFonts w:ascii="Bookman Old Style" w:hAnsi="Bookman Old Style" w:cs="Calibri"/>
          <w:b/>
          <w:color w:val="222222"/>
          <w:sz w:val="24"/>
          <w:szCs w:val="24"/>
        </w:rPr>
        <w:t>Comuni con una incidenza della spesa di personale sulle entrate correnti bassa, che possono utilizzare le percentuali di crescita annuale della spesa di personale per maggiori assunzioni a tempo indeterminato.</w:t>
      </w:r>
    </w:p>
    <w:p w14:paraId="0467AD59" w14:textId="3175AF55" w:rsidR="00D8179F" w:rsidRPr="001319E4" w:rsidRDefault="00D8179F" w:rsidP="00D8179F">
      <w:pPr>
        <w:widowControl w:val="0"/>
        <w:shd w:val="clear" w:color="auto" w:fill="FFFFFF"/>
        <w:spacing w:before="240"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L’art. 4, comma 1, del Decreto individua i valori-soglia di riferimento di ciascuna fascia demografica</w:t>
      </w:r>
      <w:r w:rsidR="00F30577" w:rsidRPr="001319E4">
        <w:rPr>
          <w:rFonts w:ascii="Bookman Old Style" w:hAnsi="Bookman Old Style" w:cs="Calibri"/>
          <w:bCs/>
          <w:color w:val="222222"/>
          <w:sz w:val="24"/>
          <w:szCs w:val="24"/>
        </w:rPr>
        <w:t>, che corrispondono alle medie del rapporto calcolate per ciascuna fascia considerata, incrementate di 4 punti percentuali</w:t>
      </w:r>
      <w:r w:rsidRPr="001319E4">
        <w:rPr>
          <w:rFonts w:ascii="Bookman Old Style" w:hAnsi="Bookman Old Style" w:cs="Calibri"/>
          <w:bCs/>
          <w:color w:val="222222"/>
          <w:sz w:val="24"/>
          <w:szCs w:val="24"/>
        </w:rPr>
        <w:t xml:space="preserve">. </w:t>
      </w:r>
    </w:p>
    <w:p w14:paraId="37BF3542" w14:textId="77777777" w:rsidR="00055625" w:rsidRDefault="00055625" w:rsidP="005D68E1">
      <w:pPr>
        <w:widowControl w:val="0"/>
        <w:shd w:val="clear" w:color="auto" w:fill="FFFFFF"/>
        <w:spacing w:before="240" w:after="0"/>
        <w:ind w:firstLine="709"/>
        <w:jc w:val="both"/>
        <w:rPr>
          <w:rFonts w:ascii="Bookman Old Style" w:hAnsi="Bookman Old Style" w:cs="Calibri"/>
          <w:bCs/>
          <w:i/>
          <w:iCs/>
          <w:color w:val="222222"/>
          <w:sz w:val="24"/>
          <w:szCs w:val="24"/>
        </w:rPr>
      </w:pPr>
    </w:p>
    <w:p w14:paraId="41BA3816" w14:textId="1B8E28C8" w:rsidR="00D8179F" w:rsidRPr="001319E4" w:rsidRDefault="00F30577" w:rsidP="005D68E1">
      <w:pPr>
        <w:widowControl w:val="0"/>
        <w:shd w:val="clear" w:color="auto" w:fill="FFFFFF"/>
        <w:spacing w:before="240" w:after="0"/>
        <w:ind w:firstLine="709"/>
        <w:jc w:val="both"/>
        <w:rPr>
          <w:rFonts w:ascii="Bookman Old Style" w:hAnsi="Bookman Old Style" w:cs="Calibri"/>
          <w:bCs/>
          <w:i/>
          <w:iCs/>
          <w:color w:val="222222"/>
          <w:sz w:val="24"/>
          <w:szCs w:val="24"/>
        </w:rPr>
      </w:pPr>
      <w:r w:rsidRPr="001319E4">
        <w:rPr>
          <w:rFonts w:ascii="Bookman Old Style" w:hAnsi="Bookman Old Style" w:cs="Calibri"/>
          <w:bCs/>
          <w:i/>
          <w:iCs/>
          <w:color w:val="222222"/>
          <w:sz w:val="24"/>
          <w:szCs w:val="24"/>
        </w:rPr>
        <w:t>Tabella 1</w:t>
      </w:r>
    </w:p>
    <w:tbl>
      <w:tblPr>
        <w:tblStyle w:val="Grigliatabella"/>
        <w:tblW w:w="8503" w:type="dxa"/>
        <w:jc w:val="center"/>
        <w:shd w:val="clear" w:color="auto" w:fill="F2F2F2" w:themeFill="background1" w:themeFillShade="F2"/>
        <w:tblLook w:val="04A0" w:firstRow="1" w:lastRow="0" w:firstColumn="1" w:lastColumn="0" w:noHBand="0" w:noVBand="1"/>
      </w:tblPr>
      <w:tblGrid>
        <w:gridCol w:w="5755"/>
        <w:gridCol w:w="2748"/>
      </w:tblGrid>
      <w:tr w:rsidR="00D8179F" w:rsidRPr="001319E4" w14:paraId="4AEAD0D0" w14:textId="77777777" w:rsidTr="00A0300A">
        <w:trPr>
          <w:trHeight w:val="300"/>
          <w:jc w:val="center"/>
        </w:trPr>
        <w:tc>
          <w:tcPr>
            <w:tcW w:w="5755" w:type="dxa"/>
            <w:shd w:val="clear" w:color="auto" w:fill="F2F2F2" w:themeFill="background1" w:themeFillShade="F2"/>
            <w:hideMark/>
          </w:tcPr>
          <w:p w14:paraId="20067A9D" w14:textId="77777777" w:rsidR="00D8179F" w:rsidRPr="001319E4" w:rsidRDefault="00D8179F" w:rsidP="00A0300A">
            <w:pPr>
              <w:suppressAutoHyphens w:val="0"/>
              <w:rPr>
                <w:rFonts w:ascii="Bookman Old Style" w:hAnsi="Bookman Old Style"/>
                <w:sz w:val="20"/>
              </w:rPr>
            </w:pPr>
            <w:r w:rsidRPr="001319E4">
              <w:rPr>
                <w:rFonts w:ascii="Bookman Old Style" w:hAnsi="Bookman Old Style"/>
                <w:sz w:val="20"/>
              </w:rPr>
              <w:t xml:space="preserve">Fasce demografiche </w:t>
            </w:r>
          </w:p>
        </w:tc>
        <w:tc>
          <w:tcPr>
            <w:tcW w:w="2748" w:type="dxa"/>
            <w:shd w:val="clear" w:color="auto" w:fill="F2F2F2" w:themeFill="background1" w:themeFillShade="F2"/>
            <w:hideMark/>
          </w:tcPr>
          <w:p w14:paraId="339A8B9D"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Valore soglia</w:t>
            </w:r>
          </w:p>
        </w:tc>
      </w:tr>
      <w:tr w:rsidR="00D8179F" w:rsidRPr="001319E4" w14:paraId="3A5FA238" w14:textId="77777777" w:rsidTr="00A0300A">
        <w:trPr>
          <w:trHeight w:val="300"/>
          <w:jc w:val="center"/>
        </w:trPr>
        <w:tc>
          <w:tcPr>
            <w:tcW w:w="5755" w:type="dxa"/>
            <w:shd w:val="clear" w:color="auto" w:fill="F2F2F2" w:themeFill="background1" w:themeFillShade="F2"/>
            <w:hideMark/>
          </w:tcPr>
          <w:p w14:paraId="2D59A00B" w14:textId="652CA231" w:rsidR="00D8179F" w:rsidRPr="001319E4" w:rsidRDefault="00D8179F" w:rsidP="005D68E1">
            <w:pPr>
              <w:pStyle w:val="Paragrafoelenco"/>
              <w:numPr>
                <w:ilvl w:val="0"/>
                <w:numId w:val="34"/>
              </w:numPr>
              <w:suppressAutoHyphens w:val="0"/>
              <w:jc w:val="both"/>
              <w:rPr>
                <w:rFonts w:ascii="Bookman Old Style" w:hAnsi="Bookman Old Style"/>
                <w:sz w:val="20"/>
              </w:rPr>
            </w:pPr>
            <w:r w:rsidRPr="001319E4">
              <w:rPr>
                <w:rFonts w:ascii="Bookman Old Style" w:hAnsi="Bookman Old Style" w:cstheme="minorHAnsi"/>
                <w:sz w:val="20"/>
                <w:szCs w:val="20"/>
                <w:lang w:eastAsia="it-IT"/>
              </w:rPr>
              <w:t xml:space="preserve"> </w:t>
            </w:r>
            <w:r w:rsidRPr="001319E4">
              <w:rPr>
                <w:rFonts w:ascii="Bookman Old Style" w:hAnsi="Bookman Old Style"/>
                <w:sz w:val="20"/>
              </w:rPr>
              <w:t>comuni con meno di 1.000 abitanti</w:t>
            </w:r>
          </w:p>
        </w:tc>
        <w:tc>
          <w:tcPr>
            <w:tcW w:w="2748" w:type="dxa"/>
            <w:shd w:val="clear" w:color="auto" w:fill="F2F2F2" w:themeFill="background1" w:themeFillShade="F2"/>
            <w:hideMark/>
          </w:tcPr>
          <w:p w14:paraId="625D8FB9"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29,</w:t>
            </w:r>
            <w:r w:rsidRPr="001319E4">
              <w:rPr>
                <w:rFonts w:ascii="Bookman Old Style" w:hAnsi="Bookman Old Style" w:cstheme="minorHAnsi"/>
                <w:sz w:val="20"/>
                <w:szCs w:val="20"/>
                <w:lang w:eastAsia="it-IT"/>
              </w:rPr>
              <w:t>50</w:t>
            </w:r>
            <w:r w:rsidRPr="001319E4">
              <w:rPr>
                <w:rFonts w:ascii="Bookman Old Style" w:hAnsi="Bookman Old Style"/>
                <w:sz w:val="20"/>
              </w:rPr>
              <w:t>%</w:t>
            </w:r>
          </w:p>
        </w:tc>
      </w:tr>
      <w:tr w:rsidR="00D8179F" w:rsidRPr="001319E4" w14:paraId="7EBE0613" w14:textId="77777777" w:rsidTr="00A0300A">
        <w:trPr>
          <w:trHeight w:val="300"/>
          <w:jc w:val="center"/>
        </w:trPr>
        <w:tc>
          <w:tcPr>
            <w:tcW w:w="5755" w:type="dxa"/>
            <w:shd w:val="clear" w:color="auto" w:fill="F2F2F2" w:themeFill="background1" w:themeFillShade="F2"/>
            <w:hideMark/>
          </w:tcPr>
          <w:p w14:paraId="01DF1B69" w14:textId="7C571D9F"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 xml:space="preserve">comuni da 1.000 a 1.999 abitanti       </w:t>
            </w:r>
          </w:p>
        </w:tc>
        <w:tc>
          <w:tcPr>
            <w:tcW w:w="2748" w:type="dxa"/>
            <w:shd w:val="clear" w:color="auto" w:fill="F2F2F2" w:themeFill="background1" w:themeFillShade="F2"/>
            <w:hideMark/>
          </w:tcPr>
          <w:p w14:paraId="672B2F2F"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28,</w:t>
            </w:r>
            <w:r w:rsidRPr="001319E4">
              <w:rPr>
                <w:rFonts w:ascii="Bookman Old Style" w:hAnsi="Bookman Old Style" w:cstheme="minorHAnsi"/>
                <w:sz w:val="20"/>
                <w:szCs w:val="20"/>
                <w:lang w:eastAsia="it-IT"/>
              </w:rPr>
              <w:t>60</w:t>
            </w:r>
            <w:r w:rsidRPr="001319E4">
              <w:rPr>
                <w:rFonts w:ascii="Bookman Old Style" w:hAnsi="Bookman Old Style"/>
                <w:sz w:val="20"/>
              </w:rPr>
              <w:t>%</w:t>
            </w:r>
          </w:p>
        </w:tc>
      </w:tr>
      <w:tr w:rsidR="00D8179F" w:rsidRPr="001319E4" w14:paraId="353DD5AB" w14:textId="77777777" w:rsidTr="00A0300A">
        <w:trPr>
          <w:trHeight w:val="300"/>
          <w:jc w:val="center"/>
        </w:trPr>
        <w:tc>
          <w:tcPr>
            <w:tcW w:w="5755" w:type="dxa"/>
            <w:shd w:val="clear" w:color="auto" w:fill="F2F2F2" w:themeFill="background1" w:themeFillShade="F2"/>
            <w:hideMark/>
          </w:tcPr>
          <w:p w14:paraId="5AFBFC3D" w14:textId="35184536"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 xml:space="preserve">comuni da 2.000 a 2.999 abitanti       </w:t>
            </w:r>
          </w:p>
        </w:tc>
        <w:tc>
          <w:tcPr>
            <w:tcW w:w="2748" w:type="dxa"/>
            <w:shd w:val="clear" w:color="auto" w:fill="F2F2F2" w:themeFill="background1" w:themeFillShade="F2"/>
            <w:hideMark/>
          </w:tcPr>
          <w:p w14:paraId="10089B63"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27,</w:t>
            </w:r>
            <w:r w:rsidRPr="001319E4">
              <w:rPr>
                <w:rFonts w:ascii="Bookman Old Style" w:hAnsi="Bookman Old Style" w:cstheme="minorHAnsi"/>
                <w:sz w:val="20"/>
                <w:szCs w:val="20"/>
                <w:lang w:eastAsia="it-IT"/>
              </w:rPr>
              <w:t>60</w:t>
            </w:r>
            <w:r w:rsidRPr="001319E4">
              <w:rPr>
                <w:rFonts w:ascii="Bookman Old Style" w:hAnsi="Bookman Old Style"/>
                <w:sz w:val="20"/>
              </w:rPr>
              <w:t>%</w:t>
            </w:r>
          </w:p>
        </w:tc>
      </w:tr>
      <w:tr w:rsidR="00D8179F" w:rsidRPr="001319E4" w14:paraId="6896264D" w14:textId="77777777" w:rsidTr="00A0300A">
        <w:trPr>
          <w:trHeight w:val="300"/>
          <w:jc w:val="center"/>
        </w:trPr>
        <w:tc>
          <w:tcPr>
            <w:tcW w:w="5755" w:type="dxa"/>
            <w:shd w:val="clear" w:color="auto" w:fill="F2F2F2" w:themeFill="background1" w:themeFillShade="F2"/>
            <w:hideMark/>
          </w:tcPr>
          <w:p w14:paraId="203ADD83" w14:textId="24B58636"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 xml:space="preserve">comuni da 3.000 a 4.999 abitanti       </w:t>
            </w:r>
          </w:p>
        </w:tc>
        <w:tc>
          <w:tcPr>
            <w:tcW w:w="2748" w:type="dxa"/>
            <w:shd w:val="clear" w:color="auto" w:fill="F2F2F2" w:themeFill="background1" w:themeFillShade="F2"/>
            <w:hideMark/>
          </w:tcPr>
          <w:p w14:paraId="0D509CA5"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27,</w:t>
            </w:r>
            <w:r w:rsidRPr="001319E4">
              <w:rPr>
                <w:rFonts w:ascii="Bookman Old Style" w:hAnsi="Bookman Old Style" w:cstheme="minorHAnsi"/>
                <w:sz w:val="20"/>
                <w:szCs w:val="20"/>
                <w:lang w:eastAsia="it-IT"/>
              </w:rPr>
              <w:t>20</w:t>
            </w:r>
            <w:r w:rsidRPr="001319E4">
              <w:rPr>
                <w:rFonts w:ascii="Bookman Old Style" w:hAnsi="Bookman Old Style"/>
                <w:sz w:val="20"/>
              </w:rPr>
              <w:t>%</w:t>
            </w:r>
          </w:p>
        </w:tc>
      </w:tr>
      <w:tr w:rsidR="00D8179F" w:rsidRPr="001319E4" w14:paraId="536E3591" w14:textId="77777777" w:rsidTr="00A0300A">
        <w:trPr>
          <w:trHeight w:val="300"/>
          <w:jc w:val="center"/>
        </w:trPr>
        <w:tc>
          <w:tcPr>
            <w:tcW w:w="5755" w:type="dxa"/>
            <w:shd w:val="clear" w:color="auto" w:fill="F2F2F2" w:themeFill="background1" w:themeFillShade="F2"/>
            <w:hideMark/>
          </w:tcPr>
          <w:p w14:paraId="6348594C" w14:textId="62EA8814"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 xml:space="preserve">comuni da 5.000 a 9.999 abitanti     </w:t>
            </w:r>
          </w:p>
        </w:tc>
        <w:tc>
          <w:tcPr>
            <w:tcW w:w="2748" w:type="dxa"/>
            <w:shd w:val="clear" w:color="auto" w:fill="F2F2F2" w:themeFill="background1" w:themeFillShade="F2"/>
            <w:hideMark/>
          </w:tcPr>
          <w:p w14:paraId="6996A614"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26,</w:t>
            </w:r>
            <w:r w:rsidRPr="001319E4">
              <w:rPr>
                <w:rFonts w:ascii="Bookman Old Style" w:hAnsi="Bookman Old Style" w:cstheme="minorHAnsi"/>
                <w:sz w:val="20"/>
                <w:szCs w:val="20"/>
                <w:lang w:eastAsia="it-IT"/>
              </w:rPr>
              <w:t>90</w:t>
            </w:r>
            <w:r w:rsidRPr="001319E4">
              <w:rPr>
                <w:rFonts w:ascii="Bookman Old Style" w:hAnsi="Bookman Old Style"/>
                <w:sz w:val="20"/>
              </w:rPr>
              <w:t>%</w:t>
            </w:r>
          </w:p>
        </w:tc>
      </w:tr>
      <w:tr w:rsidR="00D8179F" w:rsidRPr="001319E4" w14:paraId="01AA8E44" w14:textId="77777777" w:rsidTr="00A0300A">
        <w:trPr>
          <w:trHeight w:val="300"/>
          <w:jc w:val="center"/>
        </w:trPr>
        <w:tc>
          <w:tcPr>
            <w:tcW w:w="5755" w:type="dxa"/>
            <w:shd w:val="clear" w:color="auto" w:fill="F2F2F2" w:themeFill="background1" w:themeFillShade="F2"/>
            <w:hideMark/>
          </w:tcPr>
          <w:p w14:paraId="4609CF85" w14:textId="133F12DA"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 xml:space="preserve">comuni da 10.000 a 59.999 abitanti     </w:t>
            </w:r>
          </w:p>
        </w:tc>
        <w:tc>
          <w:tcPr>
            <w:tcW w:w="2748" w:type="dxa"/>
            <w:shd w:val="clear" w:color="auto" w:fill="F2F2F2" w:themeFill="background1" w:themeFillShade="F2"/>
            <w:hideMark/>
          </w:tcPr>
          <w:p w14:paraId="016B04FA"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27,</w:t>
            </w:r>
            <w:r w:rsidRPr="001319E4">
              <w:rPr>
                <w:rFonts w:ascii="Bookman Old Style" w:hAnsi="Bookman Old Style" w:cstheme="minorHAnsi"/>
                <w:sz w:val="20"/>
                <w:szCs w:val="20"/>
                <w:lang w:eastAsia="it-IT"/>
              </w:rPr>
              <w:t>00</w:t>
            </w:r>
            <w:r w:rsidRPr="001319E4">
              <w:rPr>
                <w:rFonts w:ascii="Bookman Old Style" w:hAnsi="Bookman Old Style"/>
                <w:sz w:val="20"/>
              </w:rPr>
              <w:t>%</w:t>
            </w:r>
          </w:p>
        </w:tc>
      </w:tr>
      <w:tr w:rsidR="00D8179F" w:rsidRPr="001319E4" w14:paraId="72BFCCD8" w14:textId="77777777" w:rsidTr="00A0300A">
        <w:trPr>
          <w:trHeight w:val="300"/>
          <w:jc w:val="center"/>
        </w:trPr>
        <w:tc>
          <w:tcPr>
            <w:tcW w:w="5755" w:type="dxa"/>
            <w:shd w:val="clear" w:color="auto" w:fill="F2F2F2" w:themeFill="background1" w:themeFillShade="F2"/>
            <w:hideMark/>
          </w:tcPr>
          <w:p w14:paraId="072076F6" w14:textId="75C3019F"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 xml:space="preserve">comuni da 60.000 a 249.999 abitanti </w:t>
            </w:r>
          </w:p>
        </w:tc>
        <w:tc>
          <w:tcPr>
            <w:tcW w:w="2748" w:type="dxa"/>
            <w:shd w:val="clear" w:color="auto" w:fill="F2F2F2" w:themeFill="background1" w:themeFillShade="F2"/>
            <w:hideMark/>
          </w:tcPr>
          <w:p w14:paraId="03807972"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27,</w:t>
            </w:r>
            <w:r w:rsidRPr="001319E4">
              <w:rPr>
                <w:rFonts w:ascii="Bookman Old Style" w:hAnsi="Bookman Old Style" w:cstheme="minorHAnsi"/>
                <w:sz w:val="20"/>
                <w:szCs w:val="20"/>
                <w:lang w:eastAsia="it-IT"/>
              </w:rPr>
              <w:t>60</w:t>
            </w:r>
            <w:r w:rsidRPr="001319E4">
              <w:rPr>
                <w:rFonts w:ascii="Bookman Old Style" w:hAnsi="Bookman Old Style"/>
                <w:sz w:val="20"/>
              </w:rPr>
              <w:t>%</w:t>
            </w:r>
          </w:p>
        </w:tc>
      </w:tr>
      <w:tr w:rsidR="00D8179F" w:rsidRPr="001319E4" w14:paraId="35980F5B" w14:textId="77777777" w:rsidTr="00A0300A">
        <w:trPr>
          <w:trHeight w:val="300"/>
          <w:jc w:val="center"/>
        </w:trPr>
        <w:tc>
          <w:tcPr>
            <w:tcW w:w="5755" w:type="dxa"/>
            <w:shd w:val="clear" w:color="auto" w:fill="F2F2F2" w:themeFill="background1" w:themeFillShade="F2"/>
            <w:hideMark/>
          </w:tcPr>
          <w:p w14:paraId="432277AF" w14:textId="55221517"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 xml:space="preserve">comuni da 250.0000 a 1.499.999 abitanti </w:t>
            </w:r>
          </w:p>
        </w:tc>
        <w:tc>
          <w:tcPr>
            <w:tcW w:w="2748" w:type="dxa"/>
            <w:shd w:val="clear" w:color="auto" w:fill="F2F2F2" w:themeFill="background1" w:themeFillShade="F2"/>
            <w:hideMark/>
          </w:tcPr>
          <w:p w14:paraId="1C564B6B"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28,</w:t>
            </w:r>
            <w:r w:rsidRPr="001319E4">
              <w:rPr>
                <w:rFonts w:ascii="Bookman Old Style" w:hAnsi="Bookman Old Style" w:cstheme="minorHAnsi"/>
                <w:sz w:val="20"/>
                <w:szCs w:val="20"/>
                <w:lang w:eastAsia="it-IT"/>
              </w:rPr>
              <w:t>80</w:t>
            </w:r>
            <w:r w:rsidRPr="001319E4">
              <w:rPr>
                <w:rFonts w:ascii="Bookman Old Style" w:hAnsi="Bookman Old Style"/>
                <w:sz w:val="20"/>
              </w:rPr>
              <w:t>%</w:t>
            </w:r>
          </w:p>
        </w:tc>
      </w:tr>
      <w:tr w:rsidR="00D8179F" w:rsidRPr="001319E4" w14:paraId="6575527A" w14:textId="77777777" w:rsidTr="00A0300A">
        <w:trPr>
          <w:trHeight w:val="300"/>
          <w:jc w:val="center"/>
        </w:trPr>
        <w:tc>
          <w:tcPr>
            <w:tcW w:w="5755" w:type="dxa"/>
            <w:shd w:val="clear" w:color="auto" w:fill="F2F2F2" w:themeFill="background1" w:themeFillShade="F2"/>
            <w:hideMark/>
          </w:tcPr>
          <w:p w14:paraId="2591D47A" w14:textId="178FF597" w:rsidR="00D8179F" w:rsidRPr="001319E4" w:rsidRDefault="00D8179F" w:rsidP="005D68E1">
            <w:pPr>
              <w:pStyle w:val="Paragrafoelenco"/>
              <w:numPr>
                <w:ilvl w:val="0"/>
                <w:numId w:val="34"/>
              </w:numPr>
              <w:suppressAutoHyphens w:val="0"/>
              <w:jc w:val="both"/>
              <w:rPr>
                <w:rFonts w:ascii="Bookman Old Style" w:hAnsi="Bookman Old Style" w:cstheme="minorHAnsi"/>
                <w:sz w:val="20"/>
                <w:szCs w:val="20"/>
                <w:lang w:eastAsia="it-IT"/>
              </w:rPr>
            </w:pPr>
            <w:r w:rsidRPr="001319E4">
              <w:rPr>
                <w:rFonts w:ascii="Bookman Old Style" w:hAnsi="Bookman Old Style" w:cstheme="minorHAnsi"/>
                <w:sz w:val="20"/>
                <w:szCs w:val="20"/>
                <w:lang w:eastAsia="it-IT"/>
              </w:rPr>
              <w:t>comuni con 1.500.000 di abitanti e oltre</w:t>
            </w:r>
          </w:p>
        </w:tc>
        <w:tc>
          <w:tcPr>
            <w:tcW w:w="2748" w:type="dxa"/>
            <w:shd w:val="clear" w:color="auto" w:fill="F2F2F2" w:themeFill="background1" w:themeFillShade="F2"/>
            <w:hideMark/>
          </w:tcPr>
          <w:p w14:paraId="66910B8F" w14:textId="77777777" w:rsidR="00D8179F" w:rsidRPr="001319E4" w:rsidRDefault="00D8179F" w:rsidP="00A0300A">
            <w:pPr>
              <w:suppressAutoHyphens w:val="0"/>
              <w:jc w:val="center"/>
              <w:rPr>
                <w:rFonts w:ascii="Bookman Old Style" w:hAnsi="Bookman Old Style"/>
                <w:sz w:val="20"/>
              </w:rPr>
            </w:pPr>
            <w:r w:rsidRPr="001319E4">
              <w:rPr>
                <w:rFonts w:ascii="Bookman Old Style" w:hAnsi="Bookman Old Style"/>
                <w:sz w:val="20"/>
              </w:rPr>
              <w:t>25,</w:t>
            </w:r>
            <w:r w:rsidRPr="001319E4">
              <w:rPr>
                <w:rFonts w:ascii="Bookman Old Style" w:hAnsi="Bookman Old Style" w:cstheme="minorHAnsi"/>
                <w:sz w:val="20"/>
                <w:szCs w:val="20"/>
                <w:lang w:eastAsia="it-IT"/>
              </w:rPr>
              <w:t>30</w:t>
            </w:r>
            <w:r w:rsidRPr="001319E4">
              <w:rPr>
                <w:rFonts w:ascii="Bookman Old Style" w:hAnsi="Bookman Old Style"/>
                <w:sz w:val="20"/>
              </w:rPr>
              <w:t>%</w:t>
            </w:r>
          </w:p>
        </w:tc>
      </w:tr>
    </w:tbl>
    <w:p w14:paraId="635DEDCB" w14:textId="26D49CF8" w:rsidR="00D8179F" w:rsidRPr="001319E4" w:rsidRDefault="00050172" w:rsidP="00D8179F">
      <w:pPr>
        <w:widowControl w:val="0"/>
        <w:shd w:val="clear" w:color="auto" w:fill="FFFFFF"/>
        <w:spacing w:before="240" w:after="120"/>
        <w:jc w:val="both"/>
        <w:rPr>
          <w:rFonts w:ascii="Bookman Old Style" w:hAnsi="Bookman Old Style" w:cs="Calibri"/>
          <w:bCs/>
          <w:color w:val="222222"/>
          <w:sz w:val="24"/>
          <w:szCs w:val="24"/>
        </w:rPr>
      </w:pPr>
      <w:r w:rsidRPr="001319E4">
        <w:rPr>
          <w:rFonts w:ascii="Bookman Old Style" w:hAnsi="Bookman Old Style" w:cs="Calibri"/>
          <w:b/>
          <w:color w:val="222222"/>
          <w:sz w:val="24"/>
          <w:szCs w:val="24"/>
          <w:u w:val="single"/>
        </w:rPr>
        <w:t>La Circolare chiarisce che i</w:t>
      </w:r>
      <w:r w:rsidR="00D8179F" w:rsidRPr="001319E4">
        <w:rPr>
          <w:rFonts w:ascii="Bookman Old Style" w:hAnsi="Bookman Old Style" w:cs="Calibri"/>
          <w:b/>
          <w:color w:val="222222"/>
          <w:sz w:val="24"/>
          <w:szCs w:val="24"/>
          <w:u w:val="single"/>
        </w:rPr>
        <w:t xml:space="preserve"> Comuni che si collocano al di sotto del rispettivo valore soglia</w:t>
      </w:r>
      <w:r w:rsidR="00D8179F" w:rsidRPr="001319E4">
        <w:rPr>
          <w:rFonts w:ascii="Bookman Old Style" w:hAnsi="Bookman Old Style"/>
          <w:b/>
          <w:color w:val="222222"/>
          <w:sz w:val="24"/>
          <w:u w:val="single"/>
        </w:rPr>
        <w:t xml:space="preserve"> </w:t>
      </w:r>
      <w:r w:rsidR="00D8179F" w:rsidRPr="001319E4">
        <w:rPr>
          <w:rFonts w:ascii="Bookman Old Style" w:hAnsi="Bookman Old Style" w:cs="Calibri"/>
          <w:bCs/>
          <w:color w:val="222222"/>
          <w:sz w:val="24"/>
          <w:szCs w:val="24"/>
        </w:rPr>
        <w:t>possono incrementare la spesa di personale registrata nell’ultimo rendiconto approvato, per assunzioni di personale a tempo indeterminato, sino ad una spesa complessiva rapportata alle entrate correnti non superiore a tale valore soglia e nel rispetto della dinamica di crescita delimitata dalla tabella 3</w:t>
      </w:r>
      <w:r w:rsidR="00A30037" w:rsidRPr="001319E4">
        <w:rPr>
          <w:rFonts w:ascii="Bookman Old Style" w:hAnsi="Bookman Old Style" w:cs="Calibri"/>
          <w:bCs/>
          <w:color w:val="222222"/>
          <w:sz w:val="24"/>
          <w:szCs w:val="24"/>
        </w:rPr>
        <w:t xml:space="preserve"> (</w:t>
      </w:r>
      <w:r w:rsidR="00D8179F" w:rsidRPr="001319E4">
        <w:rPr>
          <w:rFonts w:ascii="Bookman Old Style" w:hAnsi="Bookman Old Style" w:cs="Calibri"/>
          <w:bCs/>
          <w:color w:val="222222"/>
          <w:sz w:val="24"/>
          <w:szCs w:val="24"/>
        </w:rPr>
        <w:t>contenuta nell’art. 5</w:t>
      </w:r>
      <w:r w:rsidR="00A30037" w:rsidRPr="001319E4">
        <w:rPr>
          <w:rFonts w:ascii="Bookman Old Style" w:hAnsi="Bookman Old Style" w:cs="Calibri"/>
          <w:bCs/>
          <w:color w:val="222222"/>
          <w:sz w:val="24"/>
          <w:szCs w:val="24"/>
        </w:rPr>
        <w:t>)</w:t>
      </w:r>
      <w:r w:rsidR="00D8179F" w:rsidRPr="001319E4">
        <w:rPr>
          <w:rFonts w:ascii="Bookman Old Style" w:hAnsi="Bookman Old Style" w:cs="Calibri"/>
          <w:bCs/>
          <w:color w:val="222222"/>
          <w:sz w:val="24"/>
          <w:szCs w:val="24"/>
        </w:rPr>
        <w:t>, che individua le percentuali massime di incremento annuale della spesa di personale.</w:t>
      </w:r>
    </w:p>
    <w:p w14:paraId="4447A187" w14:textId="664646F2" w:rsidR="00D8179F" w:rsidRPr="001319E4" w:rsidRDefault="00F30577" w:rsidP="00A30037">
      <w:pPr>
        <w:widowControl w:val="0"/>
        <w:shd w:val="clear" w:color="auto" w:fill="FFFFFF"/>
        <w:spacing w:before="240" w:after="0"/>
        <w:jc w:val="both"/>
        <w:rPr>
          <w:rFonts w:ascii="Bookman Old Style" w:hAnsi="Bookman Old Style" w:cs="Calibri"/>
          <w:bCs/>
          <w:i/>
          <w:iCs/>
          <w:color w:val="222222"/>
          <w:sz w:val="24"/>
          <w:szCs w:val="24"/>
        </w:rPr>
      </w:pPr>
      <w:r w:rsidRPr="001319E4">
        <w:rPr>
          <w:rFonts w:ascii="Bookman Old Style" w:hAnsi="Bookman Old Style" w:cs="Calibri"/>
          <w:bCs/>
          <w:i/>
          <w:iCs/>
          <w:color w:val="222222"/>
          <w:sz w:val="24"/>
          <w:szCs w:val="24"/>
        </w:rPr>
        <w:t xml:space="preserve">   </w:t>
      </w:r>
      <w:r w:rsidR="00D8179F" w:rsidRPr="001319E4">
        <w:rPr>
          <w:rFonts w:ascii="Bookman Old Style" w:hAnsi="Bookman Old Style" w:cs="Calibri"/>
          <w:bCs/>
          <w:i/>
          <w:iCs/>
          <w:color w:val="222222"/>
          <w:sz w:val="24"/>
          <w:szCs w:val="24"/>
        </w:rPr>
        <w:t>Tabella 2</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4A0" w:firstRow="1" w:lastRow="0" w:firstColumn="1" w:lastColumn="0" w:noHBand="0" w:noVBand="1"/>
      </w:tblPr>
      <w:tblGrid>
        <w:gridCol w:w="3964"/>
        <w:gridCol w:w="1105"/>
        <w:gridCol w:w="1106"/>
        <w:gridCol w:w="1106"/>
        <w:gridCol w:w="1106"/>
        <w:gridCol w:w="1106"/>
      </w:tblGrid>
      <w:tr w:rsidR="00D8179F" w:rsidRPr="001319E4" w14:paraId="62BA9AB7" w14:textId="77777777" w:rsidTr="00A0300A">
        <w:trPr>
          <w:cantSplit/>
          <w:trHeight w:val="300"/>
          <w:jc w:val="center"/>
        </w:trPr>
        <w:tc>
          <w:tcPr>
            <w:tcW w:w="3964" w:type="dxa"/>
            <w:shd w:val="clear" w:color="auto" w:fill="F2F2F2" w:themeFill="background1" w:themeFillShade="F2"/>
            <w:noWrap/>
            <w:vAlign w:val="center"/>
            <w:hideMark/>
          </w:tcPr>
          <w:p w14:paraId="40D1981E" w14:textId="77777777" w:rsidR="00D8179F" w:rsidRPr="001319E4" w:rsidRDefault="00D8179F" w:rsidP="00A0300A">
            <w:pPr>
              <w:suppressAutoHyphens w:val="0"/>
              <w:spacing w:after="0" w:line="240" w:lineRule="auto"/>
              <w:rPr>
                <w:rFonts w:ascii="Bookman Old Style" w:hAnsi="Bookman Old Style"/>
                <w:color w:val="000000"/>
                <w:sz w:val="20"/>
              </w:rPr>
            </w:pPr>
            <w:r w:rsidRPr="001319E4">
              <w:rPr>
                <w:rFonts w:ascii="Bookman Old Style" w:hAnsi="Bookman Old Style" w:cs="Calibri"/>
                <w:sz w:val="20"/>
                <w:szCs w:val="20"/>
                <w:lang w:eastAsia="it-IT"/>
              </w:rPr>
              <w:t>Fasce demografiche</w:t>
            </w:r>
          </w:p>
        </w:tc>
        <w:tc>
          <w:tcPr>
            <w:tcW w:w="1105" w:type="dxa"/>
            <w:shd w:val="clear" w:color="auto" w:fill="F2F2F2" w:themeFill="background1" w:themeFillShade="F2"/>
            <w:noWrap/>
            <w:vAlign w:val="center"/>
            <w:hideMark/>
          </w:tcPr>
          <w:p w14:paraId="43C580ED"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cs="Calibri"/>
                <w:sz w:val="20"/>
                <w:szCs w:val="20"/>
                <w:lang w:eastAsia="it-IT"/>
              </w:rPr>
              <w:t>2020</w:t>
            </w:r>
          </w:p>
        </w:tc>
        <w:tc>
          <w:tcPr>
            <w:tcW w:w="1106" w:type="dxa"/>
            <w:shd w:val="clear" w:color="auto" w:fill="F2F2F2" w:themeFill="background1" w:themeFillShade="F2"/>
            <w:noWrap/>
            <w:vAlign w:val="center"/>
            <w:hideMark/>
          </w:tcPr>
          <w:p w14:paraId="0AEFEFA0"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cs="Calibri"/>
                <w:sz w:val="20"/>
                <w:szCs w:val="20"/>
                <w:lang w:eastAsia="it-IT"/>
              </w:rPr>
              <w:t>2021</w:t>
            </w:r>
          </w:p>
        </w:tc>
        <w:tc>
          <w:tcPr>
            <w:tcW w:w="1106" w:type="dxa"/>
            <w:shd w:val="clear" w:color="auto" w:fill="F2F2F2" w:themeFill="background1" w:themeFillShade="F2"/>
            <w:noWrap/>
            <w:vAlign w:val="center"/>
            <w:hideMark/>
          </w:tcPr>
          <w:p w14:paraId="31C87357"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cs="Calibri"/>
                <w:sz w:val="20"/>
                <w:szCs w:val="20"/>
                <w:lang w:eastAsia="it-IT"/>
              </w:rPr>
              <w:t>2022</w:t>
            </w:r>
          </w:p>
        </w:tc>
        <w:tc>
          <w:tcPr>
            <w:tcW w:w="1106" w:type="dxa"/>
            <w:shd w:val="clear" w:color="auto" w:fill="F2F2F2" w:themeFill="background1" w:themeFillShade="F2"/>
            <w:noWrap/>
            <w:vAlign w:val="center"/>
            <w:hideMark/>
          </w:tcPr>
          <w:p w14:paraId="71FD9C81"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cs="Calibri"/>
                <w:sz w:val="20"/>
                <w:szCs w:val="20"/>
                <w:lang w:eastAsia="it-IT"/>
              </w:rPr>
              <w:t>2023</w:t>
            </w:r>
          </w:p>
        </w:tc>
        <w:tc>
          <w:tcPr>
            <w:tcW w:w="1106" w:type="dxa"/>
            <w:shd w:val="clear" w:color="auto" w:fill="F2F2F2" w:themeFill="background1" w:themeFillShade="F2"/>
            <w:noWrap/>
            <w:vAlign w:val="center"/>
            <w:hideMark/>
          </w:tcPr>
          <w:p w14:paraId="296A0124"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cs="Calibri"/>
                <w:sz w:val="20"/>
                <w:szCs w:val="20"/>
                <w:lang w:eastAsia="it-IT"/>
              </w:rPr>
              <w:t>2024</w:t>
            </w:r>
          </w:p>
        </w:tc>
      </w:tr>
      <w:tr w:rsidR="00D8179F" w:rsidRPr="001319E4" w14:paraId="70E1ADFC" w14:textId="77777777" w:rsidTr="00A0300A">
        <w:trPr>
          <w:cantSplit/>
          <w:trHeight w:val="300"/>
          <w:jc w:val="center"/>
        </w:trPr>
        <w:tc>
          <w:tcPr>
            <w:tcW w:w="3964" w:type="dxa"/>
            <w:shd w:val="clear" w:color="auto" w:fill="F2F2F2" w:themeFill="background1" w:themeFillShade="F2"/>
            <w:noWrap/>
            <w:vAlign w:val="center"/>
            <w:hideMark/>
          </w:tcPr>
          <w:p w14:paraId="2BCE5A1D"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a)</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comuni con meno di 1.000 abitanti</w:t>
            </w:r>
          </w:p>
        </w:tc>
        <w:tc>
          <w:tcPr>
            <w:tcW w:w="1105" w:type="dxa"/>
            <w:shd w:val="clear" w:color="auto" w:fill="F2F2F2" w:themeFill="background1" w:themeFillShade="F2"/>
            <w:noWrap/>
            <w:vAlign w:val="center"/>
            <w:hideMark/>
          </w:tcPr>
          <w:p w14:paraId="2663D923"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23,0%</w:t>
            </w:r>
          </w:p>
        </w:tc>
        <w:tc>
          <w:tcPr>
            <w:tcW w:w="1106" w:type="dxa"/>
            <w:shd w:val="clear" w:color="auto" w:fill="F2F2F2" w:themeFill="background1" w:themeFillShade="F2"/>
            <w:noWrap/>
            <w:vAlign w:val="center"/>
            <w:hideMark/>
          </w:tcPr>
          <w:p w14:paraId="5F8DDBF2"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29,0%</w:t>
            </w:r>
          </w:p>
        </w:tc>
        <w:tc>
          <w:tcPr>
            <w:tcW w:w="1106" w:type="dxa"/>
            <w:shd w:val="clear" w:color="auto" w:fill="F2F2F2" w:themeFill="background1" w:themeFillShade="F2"/>
            <w:noWrap/>
            <w:vAlign w:val="center"/>
            <w:hideMark/>
          </w:tcPr>
          <w:p w14:paraId="603BB0A6"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33,0%</w:t>
            </w:r>
          </w:p>
        </w:tc>
        <w:tc>
          <w:tcPr>
            <w:tcW w:w="1106" w:type="dxa"/>
            <w:shd w:val="clear" w:color="auto" w:fill="F2F2F2" w:themeFill="background1" w:themeFillShade="F2"/>
            <w:noWrap/>
            <w:vAlign w:val="center"/>
            <w:hideMark/>
          </w:tcPr>
          <w:p w14:paraId="6CF4B30F"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34,0%</w:t>
            </w:r>
          </w:p>
        </w:tc>
        <w:tc>
          <w:tcPr>
            <w:tcW w:w="1106" w:type="dxa"/>
            <w:shd w:val="clear" w:color="auto" w:fill="F2F2F2" w:themeFill="background1" w:themeFillShade="F2"/>
            <w:noWrap/>
            <w:vAlign w:val="center"/>
            <w:hideMark/>
          </w:tcPr>
          <w:p w14:paraId="02862FBA"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35,0%</w:t>
            </w:r>
          </w:p>
        </w:tc>
      </w:tr>
      <w:tr w:rsidR="00D8179F" w:rsidRPr="001319E4" w14:paraId="6036997F" w14:textId="77777777" w:rsidTr="00A0300A">
        <w:trPr>
          <w:cantSplit/>
          <w:trHeight w:val="300"/>
          <w:jc w:val="center"/>
        </w:trPr>
        <w:tc>
          <w:tcPr>
            <w:tcW w:w="3964" w:type="dxa"/>
            <w:shd w:val="clear" w:color="auto" w:fill="F2F2F2" w:themeFill="background1" w:themeFillShade="F2"/>
            <w:noWrap/>
            <w:vAlign w:val="center"/>
            <w:hideMark/>
          </w:tcPr>
          <w:p w14:paraId="1CDC9E54"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b)</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 xml:space="preserve">comuni da 1.000 a 1.999 abitanti       </w:t>
            </w:r>
          </w:p>
        </w:tc>
        <w:tc>
          <w:tcPr>
            <w:tcW w:w="1105" w:type="dxa"/>
            <w:shd w:val="clear" w:color="auto" w:fill="F2F2F2" w:themeFill="background1" w:themeFillShade="F2"/>
            <w:noWrap/>
            <w:vAlign w:val="center"/>
            <w:hideMark/>
          </w:tcPr>
          <w:p w14:paraId="56B2B7C8"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23,0%</w:t>
            </w:r>
          </w:p>
        </w:tc>
        <w:tc>
          <w:tcPr>
            <w:tcW w:w="1106" w:type="dxa"/>
            <w:shd w:val="clear" w:color="auto" w:fill="F2F2F2" w:themeFill="background1" w:themeFillShade="F2"/>
            <w:noWrap/>
            <w:vAlign w:val="center"/>
            <w:hideMark/>
          </w:tcPr>
          <w:p w14:paraId="2141677F"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29,0%</w:t>
            </w:r>
          </w:p>
        </w:tc>
        <w:tc>
          <w:tcPr>
            <w:tcW w:w="1106" w:type="dxa"/>
            <w:shd w:val="clear" w:color="auto" w:fill="F2F2F2" w:themeFill="background1" w:themeFillShade="F2"/>
            <w:noWrap/>
            <w:vAlign w:val="center"/>
            <w:hideMark/>
          </w:tcPr>
          <w:p w14:paraId="652C45EE"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33,0%</w:t>
            </w:r>
          </w:p>
        </w:tc>
        <w:tc>
          <w:tcPr>
            <w:tcW w:w="1106" w:type="dxa"/>
            <w:shd w:val="clear" w:color="auto" w:fill="F2F2F2" w:themeFill="background1" w:themeFillShade="F2"/>
            <w:noWrap/>
            <w:vAlign w:val="center"/>
            <w:hideMark/>
          </w:tcPr>
          <w:p w14:paraId="6E83B0A5"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34,0%</w:t>
            </w:r>
          </w:p>
        </w:tc>
        <w:tc>
          <w:tcPr>
            <w:tcW w:w="1106" w:type="dxa"/>
            <w:shd w:val="clear" w:color="auto" w:fill="F2F2F2" w:themeFill="background1" w:themeFillShade="F2"/>
            <w:noWrap/>
            <w:vAlign w:val="center"/>
            <w:hideMark/>
          </w:tcPr>
          <w:p w14:paraId="4D1CAD71"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35,0%</w:t>
            </w:r>
          </w:p>
        </w:tc>
      </w:tr>
      <w:tr w:rsidR="00D8179F" w:rsidRPr="001319E4" w14:paraId="398529B9" w14:textId="77777777" w:rsidTr="00A0300A">
        <w:trPr>
          <w:cantSplit/>
          <w:trHeight w:val="300"/>
          <w:jc w:val="center"/>
        </w:trPr>
        <w:tc>
          <w:tcPr>
            <w:tcW w:w="3964" w:type="dxa"/>
            <w:shd w:val="clear" w:color="auto" w:fill="F2F2F2" w:themeFill="background1" w:themeFillShade="F2"/>
            <w:noWrap/>
            <w:vAlign w:val="center"/>
            <w:hideMark/>
          </w:tcPr>
          <w:p w14:paraId="29AB87FC"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c)</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 xml:space="preserve">comuni da 2.000 a 2.999 abitanti       </w:t>
            </w:r>
          </w:p>
        </w:tc>
        <w:tc>
          <w:tcPr>
            <w:tcW w:w="1105" w:type="dxa"/>
            <w:shd w:val="clear" w:color="auto" w:fill="F2F2F2" w:themeFill="background1" w:themeFillShade="F2"/>
            <w:noWrap/>
            <w:vAlign w:val="center"/>
            <w:hideMark/>
          </w:tcPr>
          <w:p w14:paraId="348CA923"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20,0%</w:t>
            </w:r>
          </w:p>
        </w:tc>
        <w:tc>
          <w:tcPr>
            <w:tcW w:w="1106" w:type="dxa"/>
            <w:shd w:val="clear" w:color="auto" w:fill="F2F2F2" w:themeFill="background1" w:themeFillShade="F2"/>
            <w:noWrap/>
            <w:vAlign w:val="center"/>
            <w:hideMark/>
          </w:tcPr>
          <w:p w14:paraId="13416E59"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25,0%</w:t>
            </w:r>
          </w:p>
        </w:tc>
        <w:tc>
          <w:tcPr>
            <w:tcW w:w="1106" w:type="dxa"/>
            <w:shd w:val="clear" w:color="auto" w:fill="F2F2F2" w:themeFill="background1" w:themeFillShade="F2"/>
            <w:noWrap/>
            <w:vAlign w:val="center"/>
            <w:hideMark/>
          </w:tcPr>
          <w:p w14:paraId="5032FC83"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28,0%</w:t>
            </w:r>
          </w:p>
        </w:tc>
        <w:tc>
          <w:tcPr>
            <w:tcW w:w="1106" w:type="dxa"/>
            <w:shd w:val="clear" w:color="auto" w:fill="F2F2F2" w:themeFill="background1" w:themeFillShade="F2"/>
            <w:noWrap/>
            <w:vAlign w:val="center"/>
            <w:hideMark/>
          </w:tcPr>
          <w:p w14:paraId="4F0DFF90"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29,0%</w:t>
            </w:r>
          </w:p>
        </w:tc>
        <w:tc>
          <w:tcPr>
            <w:tcW w:w="1106" w:type="dxa"/>
            <w:shd w:val="clear" w:color="auto" w:fill="F2F2F2" w:themeFill="background1" w:themeFillShade="F2"/>
            <w:noWrap/>
            <w:vAlign w:val="center"/>
            <w:hideMark/>
          </w:tcPr>
          <w:p w14:paraId="67120636"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30,0%</w:t>
            </w:r>
          </w:p>
        </w:tc>
      </w:tr>
      <w:tr w:rsidR="00D8179F" w:rsidRPr="001319E4" w14:paraId="49746778" w14:textId="77777777" w:rsidTr="00A0300A">
        <w:trPr>
          <w:cantSplit/>
          <w:trHeight w:val="300"/>
          <w:jc w:val="center"/>
        </w:trPr>
        <w:tc>
          <w:tcPr>
            <w:tcW w:w="3964" w:type="dxa"/>
            <w:shd w:val="clear" w:color="auto" w:fill="F2F2F2" w:themeFill="background1" w:themeFillShade="F2"/>
            <w:noWrap/>
            <w:vAlign w:val="center"/>
            <w:hideMark/>
          </w:tcPr>
          <w:p w14:paraId="449E6B75"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d)</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 xml:space="preserve">comuni da 3.000 a 4.999 abitanti       </w:t>
            </w:r>
          </w:p>
        </w:tc>
        <w:tc>
          <w:tcPr>
            <w:tcW w:w="1105" w:type="dxa"/>
            <w:shd w:val="clear" w:color="auto" w:fill="F2F2F2" w:themeFill="background1" w:themeFillShade="F2"/>
            <w:noWrap/>
            <w:vAlign w:val="center"/>
            <w:hideMark/>
          </w:tcPr>
          <w:p w14:paraId="0C8D4BC3"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19,0%</w:t>
            </w:r>
          </w:p>
        </w:tc>
        <w:tc>
          <w:tcPr>
            <w:tcW w:w="1106" w:type="dxa"/>
            <w:shd w:val="clear" w:color="auto" w:fill="F2F2F2" w:themeFill="background1" w:themeFillShade="F2"/>
            <w:noWrap/>
            <w:vAlign w:val="center"/>
            <w:hideMark/>
          </w:tcPr>
          <w:p w14:paraId="23A02CAB"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24,0%</w:t>
            </w:r>
          </w:p>
        </w:tc>
        <w:tc>
          <w:tcPr>
            <w:tcW w:w="1106" w:type="dxa"/>
            <w:shd w:val="clear" w:color="auto" w:fill="F2F2F2" w:themeFill="background1" w:themeFillShade="F2"/>
            <w:noWrap/>
            <w:vAlign w:val="center"/>
            <w:hideMark/>
          </w:tcPr>
          <w:p w14:paraId="52DE51C5"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26,0%</w:t>
            </w:r>
          </w:p>
        </w:tc>
        <w:tc>
          <w:tcPr>
            <w:tcW w:w="1106" w:type="dxa"/>
            <w:shd w:val="clear" w:color="auto" w:fill="F2F2F2" w:themeFill="background1" w:themeFillShade="F2"/>
            <w:noWrap/>
            <w:vAlign w:val="center"/>
            <w:hideMark/>
          </w:tcPr>
          <w:p w14:paraId="35F3CE81"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27,0%</w:t>
            </w:r>
          </w:p>
        </w:tc>
        <w:tc>
          <w:tcPr>
            <w:tcW w:w="1106" w:type="dxa"/>
            <w:shd w:val="clear" w:color="auto" w:fill="F2F2F2" w:themeFill="background1" w:themeFillShade="F2"/>
            <w:noWrap/>
            <w:vAlign w:val="center"/>
            <w:hideMark/>
          </w:tcPr>
          <w:p w14:paraId="6545FFD4"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28,0%</w:t>
            </w:r>
          </w:p>
        </w:tc>
      </w:tr>
      <w:tr w:rsidR="00D8179F" w:rsidRPr="001319E4" w14:paraId="78A1E12C" w14:textId="77777777" w:rsidTr="00A0300A">
        <w:trPr>
          <w:cantSplit/>
          <w:trHeight w:val="300"/>
          <w:jc w:val="center"/>
        </w:trPr>
        <w:tc>
          <w:tcPr>
            <w:tcW w:w="3964" w:type="dxa"/>
            <w:shd w:val="clear" w:color="auto" w:fill="F2F2F2" w:themeFill="background1" w:themeFillShade="F2"/>
            <w:noWrap/>
            <w:vAlign w:val="center"/>
            <w:hideMark/>
          </w:tcPr>
          <w:p w14:paraId="11B23F50"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e)</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 xml:space="preserve">comuni da 5.000 a 9.999 abitanti     </w:t>
            </w:r>
          </w:p>
        </w:tc>
        <w:tc>
          <w:tcPr>
            <w:tcW w:w="1105" w:type="dxa"/>
            <w:shd w:val="clear" w:color="auto" w:fill="F2F2F2" w:themeFill="background1" w:themeFillShade="F2"/>
            <w:noWrap/>
            <w:vAlign w:val="center"/>
            <w:hideMark/>
          </w:tcPr>
          <w:p w14:paraId="7E3395EF"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17,0%</w:t>
            </w:r>
          </w:p>
        </w:tc>
        <w:tc>
          <w:tcPr>
            <w:tcW w:w="1106" w:type="dxa"/>
            <w:shd w:val="clear" w:color="auto" w:fill="F2F2F2" w:themeFill="background1" w:themeFillShade="F2"/>
            <w:noWrap/>
            <w:vAlign w:val="center"/>
            <w:hideMark/>
          </w:tcPr>
          <w:p w14:paraId="1C0BE2AB"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21,0%</w:t>
            </w:r>
          </w:p>
        </w:tc>
        <w:tc>
          <w:tcPr>
            <w:tcW w:w="1106" w:type="dxa"/>
            <w:shd w:val="clear" w:color="auto" w:fill="F2F2F2" w:themeFill="background1" w:themeFillShade="F2"/>
            <w:noWrap/>
            <w:vAlign w:val="center"/>
            <w:hideMark/>
          </w:tcPr>
          <w:p w14:paraId="0F0382E1"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24,0%</w:t>
            </w:r>
          </w:p>
        </w:tc>
        <w:tc>
          <w:tcPr>
            <w:tcW w:w="1106" w:type="dxa"/>
            <w:shd w:val="clear" w:color="auto" w:fill="F2F2F2" w:themeFill="background1" w:themeFillShade="F2"/>
            <w:noWrap/>
            <w:vAlign w:val="center"/>
            <w:hideMark/>
          </w:tcPr>
          <w:p w14:paraId="14C0B387"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25,0%</w:t>
            </w:r>
          </w:p>
        </w:tc>
        <w:tc>
          <w:tcPr>
            <w:tcW w:w="1106" w:type="dxa"/>
            <w:shd w:val="clear" w:color="auto" w:fill="F2F2F2" w:themeFill="background1" w:themeFillShade="F2"/>
            <w:noWrap/>
            <w:vAlign w:val="center"/>
            <w:hideMark/>
          </w:tcPr>
          <w:p w14:paraId="3FB407F4"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26,0%</w:t>
            </w:r>
          </w:p>
        </w:tc>
      </w:tr>
      <w:tr w:rsidR="00D8179F" w:rsidRPr="001319E4" w14:paraId="0735A1D1" w14:textId="77777777" w:rsidTr="00A0300A">
        <w:trPr>
          <w:cantSplit/>
          <w:trHeight w:val="300"/>
          <w:jc w:val="center"/>
        </w:trPr>
        <w:tc>
          <w:tcPr>
            <w:tcW w:w="3964" w:type="dxa"/>
            <w:shd w:val="clear" w:color="auto" w:fill="F2F2F2" w:themeFill="background1" w:themeFillShade="F2"/>
            <w:noWrap/>
            <w:vAlign w:val="center"/>
            <w:hideMark/>
          </w:tcPr>
          <w:p w14:paraId="75484466"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f)</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 xml:space="preserve">comuni da 10.000 a 59.999 abitanti     </w:t>
            </w:r>
          </w:p>
        </w:tc>
        <w:tc>
          <w:tcPr>
            <w:tcW w:w="1105" w:type="dxa"/>
            <w:shd w:val="clear" w:color="auto" w:fill="F2F2F2" w:themeFill="background1" w:themeFillShade="F2"/>
            <w:noWrap/>
            <w:vAlign w:val="center"/>
            <w:hideMark/>
          </w:tcPr>
          <w:p w14:paraId="70750127"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9,0%</w:t>
            </w:r>
          </w:p>
        </w:tc>
        <w:tc>
          <w:tcPr>
            <w:tcW w:w="1106" w:type="dxa"/>
            <w:shd w:val="clear" w:color="auto" w:fill="F2F2F2" w:themeFill="background1" w:themeFillShade="F2"/>
            <w:noWrap/>
            <w:vAlign w:val="center"/>
            <w:hideMark/>
          </w:tcPr>
          <w:p w14:paraId="53BA17FF"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16,0%</w:t>
            </w:r>
          </w:p>
        </w:tc>
        <w:tc>
          <w:tcPr>
            <w:tcW w:w="1106" w:type="dxa"/>
            <w:shd w:val="clear" w:color="auto" w:fill="F2F2F2" w:themeFill="background1" w:themeFillShade="F2"/>
            <w:noWrap/>
            <w:vAlign w:val="center"/>
            <w:hideMark/>
          </w:tcPr>
          <w:p w14:paraId="253781F5"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19,0%</w:t>
            </w:r>
          </w:p>
        </w:tc>
        <w:tc>
          <w:tcPr>
            <w:tcW w:w="1106" w:type="dxa"/>
            <w:shd w:val="clear" w:color="auto" w:fill="F2F2F2" w:themeFill="background1" w:themeFillShade="F2"/>
            <w:noWrap/>
            <w:vAlign w:val="center"/>
            <w:hideMark/>
          </w:tcPr>
          <w:p w14:paraId="5D815231"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21,0%</w:t>
            </w:r>
          </w:p>
        </w:tc>
        <w:tc>
          <w:tcPr>
            <w:tcW w:w="1106" w:type="dxa"/>
            <w:shd w:val="clear" w:color="auto" w:fill="F2F2F2" w:themeFill="background1" w:themeFillShade="F2"/>
            <w:noWrap/>
            <w:vAlign w:val="center"/>
            <w:hideMark/>
          </w:tcPr>
          <w:p w14:paraId="453B18DD"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22,0%</w:t>
            </w:r>
          </w:p>
        </w:tc>
      </w:tr>
      <w:tr w:rsidR="00D8179F" w:rsidRPr="001319E4" w14:paraId="31FF7BB8" w14:textId="77777777" w:rsidTr="00A0300A">
        <w:trPr>
          <w:cantSplit/>
          <w:trHeight w:val="300"/>
          <w:jc w:val="center"/>
        </w:trPr>
        <w:tc>
          <w:tcPr>
            <w:tcW w:w="3964" w:type="dxa"/>
            <w:shd w:val="clear" w:color="auto" w:fill="F2F2F2" w:themeFill="background1" w:themeFillShade="F2"/>
            <w:noWrap/>
            <w:vAlign w:val="center"/>
            <w:hideMark/>
          </w:tcPr>
          <w:p w14:paraId="2F8D8600"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g)</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 xml:space="preserve">comuni da 60.000 a 249.999 abitanti </w:t>
            </w:r>
          </w:p>
        </w:tc>
        <w:tc>
          <w:tcPr>
            <w:tcW w:w="1105" w:type="dxa"/>
            <w:shd w:val="clear" w:color="auto" w:fill="F2F2F2" w:themeFill="background1" w:themeFillShade="F2"/>
            <w:noWrap/>
            <w:vAlign w:val="center"/>
            <w:hideMark/>
          </w:tcPr>
          <w:p w14:paraId="635A74E1"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7,0%</w:t>
            </w:r>
          </w:p>
        </w:tc>
        <w:tc>
          <w:tcPr>
            <w:tcW w:w="1106" w:type="dxa"/>
            <w:shd w:val="clear" w:color="auto" w:fill="F2F2F2" w:themeFill="background1" w:themeFillShade="F2"/>
            <w:noWrap/>
            <w:vAlign w:val="center"/>
            <w:hideMark/>
          </w:tcPr>
          <w:p w14:paraId="2042D580"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12,0%</w:t>
            </w:r>
          </w:p>
        </w:tc>
        <w:tc>
          <w:tcPr>
            <w:tcW w:w="1106" w:type="dxa"/>
            <w:shd w:val="clear" w:color="auto" w:fill="F2F2F2" w:themeFill="background1" w:themeFillShade="F2"/>
            <w:noWrap/>
            <w:vAlign w:val="center"/>
            <w:hideMark/>
          </w:tcPr>
          <w:p w14:paraId="3F054958"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14,0%</w:t>
            </w:r>
          </w:p>
        </w:tc>
        <w:tc>
          <w:tcPr>
            <w:tcW w:w="1106" w:type="dxa"/>
            <w:shd w:val="clear" w:color="auto" w:fill="F2F2F2" w:themeFill="background1" w:themeFillShade="F2"/>
            <w:noWrap/>
            <w:vAlign w:val="center"/>
            <w:hideMark/>
          </w:tcPr>
          <w:p w14:paraId="48DB9780"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15,0%</w:t>
            </w:r>
          </w:p>
        </w:tc>
        <w:tc>
          <w:tcPr>
            <w:tcW w:w="1106" w:type="dxa"/>
            <w:shd w:val="clear" w:color="auto" w:fill="F2F2F2" w:themeFill="background1" w:themeFillShade="F2"/>
            <w:noWrap/>
            <w:vAlign w:val="center"/>
            <w:hideMark/>
          </w:tcPr>
          <w:p w14:paraId="2B4FDDDF"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16,0%</w:t>
            </w:r>
          </w:p>
        </w:tc>
      </w:tr>
      <w:tr w:rsidR="00D8179F" w:rsidRPr="001319E4" w14:paraId="212208CA" w14:textId="77777777" w:rsidTr="00A0300A">
        <w:trPr>
          <w:cantSplit/>
          <w:trHeight w:val="300"/>
          <w:jc w:val="center"/>
        </w:trPr>
        <w:tc>
          <w:tcPr>
            <w:tcW w:w="3964" w:type="dxa"/>
            <w:shd w:val="clear" w:color="auto" w:fill="F2F2F2" w:themeFill="background1" w:themeFillShade="F2"/>
            <w:noWrap/>
            <w:vAlign w:val="center"/>
            <w:hideMark/>
          </w:tcPr>
          <w:p w14:paraId="313A152A"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h)</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comuni da 250.0000 a 1.499.999 ab.</w:t>
            </w:r>
          </w:p>
        </w:tc>
        <w:tc>
          <w:tcPr>
            <w:tcW w:w="1105" w:type="dxa"/>
            <w:shd w:val="clear" w:color="auto" w:fill="F2F2F2" w:themeFill="background1" w:themeFillShade="F2"/>
            <w:noWrap/>
            <w:vAlign w:val="center"/>
            <w:hideMark/>
          </w:tcPr>
          <w:p w14:paraId="1C4AC580"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3,0%</w:t>
            </w:r>
          </w:p>
        </w:tc>
        <w:tc>
          <w:tcPr>
            <w:tcW w:w="1106" w:type="dxa"/>
            <w:shd w:val="clear" w:color="auto" w:fill="F2F2F2" w:themeFill="background1" w:themeFillShade="F2"/>
            <w:noWrap/>
            <w:vAlign w:val="center"/>
            <w:hideMark/>
          </w:tcPr>
          <w:p w14:paraId="7B877FC9"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6,0%</w:t>
            </w:r>
          </w:p>
        </w:tc>
        <w:tc>
          <w:tcPr>
            <w:tcW w:w="1106" w:type="dxa"/>
            <w:shd w:val="clear" w:color="auto" w:fill="F2F2F2" w:themeFill="background1" w:themeFillShade="F2"/>
            <w:noWrap/>
            <w:vAlign w:val="center"/>
            <w:hideMark/>
          </w:tcPr>
          <w:p w14:paraId="183E3C61"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8,0%</w:t>
            </w:r>
          </w:p>
        </w:tc>
        <w:tc>
          <w:tcPr>
            <w:tcW w:w="1106" w:type="dxa"/>
            <w:shd w:val="clear" w:color="auto" w:fill="F2F2F2" w:themeFill="background1" w:themeFillShade="F2"/>
            <w:noWrap/>
            <w:vAlign w:val="center"/>
            <w:hideMark/>
          </w:tcPr>
          <w:p w14:paraId="269F208B"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9,0%</w:t>
            </w:r>
          </w:p>
        </w:tc>
        <w:tc>
          <w:tcPr>
            <w:tcW w:w="1106" w:type="dxa"/>
            <w:shd w:val="clear" w:color="auto" w:fill="F2F2F2" w:themeFill="background1" w:themeFillShade="F2"/>
            <w:noWrap/>
            <w:vAlign w:val="center"/>
            <w:hideMark/>
          </w:tcPr>
          <w:p w14:paraId="41B03D07"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10,0%</w:t>
            </w:r>
          </w:p>
        </w:tc>
      </w:tr>
      <w:tr w:rsidR="00D8179F" w:rsidRPr="001319E4" w14:paraId="2A173D37" w14:textId="77777777" w:rsidTr="00A0300A">
        <w:trPr>
          <w:cantSplit/>
          <w:trHeight w:val="300"/>
          <w:jc w:val="center"/>
        </w:trPr>
        <w:tc>
          <w:tcPr>
            <w:tcW w:w="3964" w:type="dxa"/>
            <w:shd w:val="clear" w:color="auto" w:fill="F2F2F2" w:themeFill="background1" w:themeFillShade="F2"/>
            <w:noWrap/>
            <w:vAlign w:val="center"/>
            <w:hideMark/>
          </w:tcPr>
          <w:p w14:paraId="31B7FFA8" w14:textId="77777777" w:rsidR="00D8179F" w:rsidRPr="001319E4" w:rsidRDefault="00D8179F" w:rsidP="00A0300A">
            <w:pPr>
              <w:suppressAutoHyphens w:val="0"/>
              <w:spacing w:after="0" w:line="240" w:lineRule="auto"/>
              <w:jc w:val="both"/>
              <w:rPr>
                <w:rFonts w:ascii="Bookman Old Style" w:hAnsi="Bookman Old Style"/>
                <w:color w:val="181818"/>
              </w:rPr>
            </w:pPr>
            <w:r w:rsidRPr="001319E4">
              <w:rPr>
                <w:rFonts w:ascii="Bookman Old Style" w:hAnsi="Bookman Old Style"/>
                <w:w w:val="106"/>
                <w:lang w:eastAsia="it-IT"/>
              </w:rPr>
              <w:t>i)</w:t>
            </w:r>
            <w:r w:rsidRPr="001319E4">
              <w:rPr>
                <w:rFonts w:ascii="Bookman Old Style" w:hAnsi="Bookman Old Style"/>
                <w:color w:val="181818"/>
                <w:w w:val="106"/>
                <w:sz w:val="14"/>
                <w:szCs w:val="14"/>
                <w:lang w:eastAsia="it-IT"/>
              </w:rPr>
              <w:t xml:space="preserve">        </w:t>
            </w:r>
            <w:r w:rsidRPr="001319E4">
              <w:rPr>
                <w:rFonts w:ascii="Bookman Old Style" w:hAnsi="Bookman Old Style"/>
                <w:color w:val="000000"/>
                <w:w w:val="106"/>
                <w:sz w:val="20"/>
              </w:rPr>
              <w:t>comuni con 1.500.000 di abitanti e oltre</w:t>
            </w:r>
          </w:p>
        </w:tc>
        <w:tc>
          <w:tcPr>
            <w:tcW w:w="1105" w:type="dxa"/>
            <w:shd w:val="clear" w:color="auto" w:fill="F2F2F2" w:themeFill="background1" w:themeFillShade="F2"/>
            <w:noWrap/>
            <w:vAlign w:val="center"/>
            <w:hideMark/>
          </w:tcPr>
          <w:p w14:paraId="7AD79470"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1,5%</w:t>
            </w:r>
          </w:p>
        </w:tc>
        <w:tc>
          <w:tcPr>
            <w:tcW w:w="1106" w:type="dxa"/>
            <w:shd w:val="clear" w:color="auto" w:fill="F2F2F2" w:themeFill="background1" w:themeFillShade="F2"/>
            <w:noWrap/>
            <w:vAlign w:val="center"/>
            <w:hideMark/>
          </w:tcPr>
          <w:p w14:paraId="3B6686AC"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3,0%</w:t>
            </w:r>
          </w:p>
        </w:tc>
        <w:tc>
          <w:tcPr>
            <w:tcW w:w="1106" w:type="dxa"/>
            <w:shd w:val="clear" w:color="auto" w:fill="F2F2F2" w:themeFill="background1" w:themeFillShade="F2"/>
            <w:noWrap/>
            <w:vAlign w:val="center"/>
            <w:hideMark/>
          </w:tcPr>
          <w:p w14:paraId="6749433B"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4,0%</w:t>
            </w:r>
          </w:p>
        </w:tc>
        <w:tc>
          <w:tcPr>
            <w:tcW w:w="1106" w:type="dxa"/>
            <w:shd w:val="clear" w:color="auto" w:fill="F2F2F2" w:themeFill="background1" w:themeFillShade="F2"/>
            <w:noWrap/>
            <w:vAlign w:val="center"/>
            <w:hideMark/>
          </w:tcPr>
          <w:p w14:paraId="00A52AF8"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4,5%</w:t>
            </w:r>
          </w:p>
        </w:tc>
        <w:tc>
          <w:tcPr>
            <w:tcW w:w="1106" w:type="dxa"/>
            <w:shd w:val="clear" w:color="auto" w:fill="F2F2F2" w:themeFill="background1" w:themeFillShade="F2"/>
            <w:noWrap/>
            <w:vAlign w:val="center"/>
            <w:hideMark/>
          </w:tcPr>
          <w:p w14:paraId="5B6E1B39" w14:textId="77777777" w:rsidR="00D8179F" w:rsidRPr="001319E4" w:rsidRDefault="00D8179F" w:rsidP="00A0300A">
            <w:pPr>
              <w:suppressAutoHyphens w:val="0"/>
              <w:spacing w:after="0" w:line="240" w:lineRule="auto"/>
              <w:jc w:val="center"/>
              <w:rPr>
                <w:rFonts w:ascii="Bookman Old Style" w:hAnsi="Bookman Old Style"/>
                <w:color w:val="000000"/>
                <w:sz w:val="20"/>
              </w:rPr>
            </w:pPr>
            <w:r w:rsidRPr="001319E4">
              <w:rPr>
                <w:rFonts w:ascii="Bookman Old Style" w:hAnsi="Bookman Old Style"/>
                <w:sz w:val="20"/>
              </w:rPr>
              <w:t>5,0%</w:t>
            </w:r>
          </w:p>
        </w:tc>
      </w:tr>
    </w:tbl>
    <w:p w14:paraId="0FAB25A1" w14:textId="77777777" w:rsidR="00D8179F" w:rsidRPr="001319E4" w:rsidRDefault="00D8179F" w:rsidP="00292DC6">
      <w:pPr>
        <w:widowControl w:val="0"/>
        <w:shd w:val="clear" w:color="auto" w:fill="FFFFFF"/>
        <w:suppressAutoHyphens w:val="0"/>
        <w:spacing w:after="120"/>
        <w:jc w:val="both"/>
        <w:rPr>
          <w:rFonts w:ascii="Bookman Old Style" w:hAnsi="Bookman Old Style" w:cs="Calibri"/>
          <w:bCs/>
          <w:color w:val="222222"/>
          <w:sz w:val="24"/>
          <w:szCs w:val="24"/>
        </w:rPr>
      </w:pPr>
    </w:p>
    <w:p w14:paraId="6BC8FBDE" w14:textId="68BF61AB" w:rsidR="00292DC6" w:rsidRPr="001319E4" w:rsidRDefault="00D8179F" w:rsidP="00292DC6">
      <w:pPr>
        <w:widowControl w:val="0"/>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Rispett</w:t>
      </w:r>
      <w:r w:rsidR="00CA0D7E" w:rsidRPr="001319E4">
        <w:rPr>
          <w:rFonts w:ascii="Bookman Old Style" w:hAnsi="Bookman Old Style" w:cs="Calibri"/>
          <w:bCs/>
          <w:color w:val="222222"/>
          <w:sz w:val="24"/>
          <w:szCs w:val="24"/>
        </w:rPr>
        <w:t>o a tali percentuali massime di incremento occorre evidenziare che:</w:t>
      </w:r>
    </w:p>
    <w:p w14:paraId="1112D981" w14:textId="1DF23C00" w:rsidR="00CA0D7E" w:rsidRPr="001319E4" w:rsidRDefault="00CA0D7E" w:rsidP="00100016">
      <w:pPr>
        <w:pStyle w:val="Paragrafoelenco"/>
        <w:widowControl w:val="0"/>
        <w:numPr>
          <w:ilvl w:val="0"/>
          <w:numId w:val="28"/>
        </w:numPr>
        <w:shd w:val="clear" w:color="auto" w:fill="FFFFFF"/>
        <w:suppressAutoHyphens w:val="0"/>
        <w:spacing w:after="120"/>
        <w:ind w:left="426"/>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i valori riportati in tabella hanno come base la spesa di personale sostenuta nel 2018</w:t>
      </w:r>
      <w:r w:rsidR="0009527C" w:rsidRPr="001319E4">
        <w:rPr>
          <w:rFonts w:ascii="Bookman Old Style" w:hAnsi="Bookman Old Style" w:cs="Calibri"/>
          <w:bCs/>
          <w:color w:val="222222"/>
          <w:sz w:val="24"/>
          <w:szCs w:val="24"/>
        </w:rPr>
        <w:t xml:space="preserve"> (art. 5, comma 1)</w:t>
      </w:r>
      <w:r w:rsidRPr="001319E4">
        <w:rPr>
          <w:rFonts w:ascii="Bookman Old Style" w:hAnsi="Bookman Old Style" w:cs="Calibri"/>
          <w:bCs/>
          <w:color w:val="222222"/>
          <w:sz w:val="24"/>
          <w:szCs w:val="24"/>
        </w:rPr>
        <w:t>;</w:t>
      </w:r>
    </w:p>
    <w:p w14:paraId="44EB04CB" w14:textId="11AE2D44" w:rsidR="00CA0D7E" w:rsidRPr="001319E4" w:rsidRDefault="00CA0D7E" w:rsidP="00100016">
      <w:pPr>
        <w:pStyle w:val="Paragrafoelenco"/>
        <w:widowControl w:val="0"/>
        <w:numPr>
          <w:ilvl w:val="0"/>
          <w:numId w:val="28"/>
        </w:numPr>
        <w:shd w:val="clear" w:color="auto" w:fill="FFFFFF"/>
        <w:suppressAutoHyphens w:val="0"/>
        <w:spacing w:after="120"/>
        <w:ind w:left="426"/>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i valori sono incrementali, nel senso che ciascun valore percentuale assorbe quello individuato per le annualità precedenti;</w:t>
      </w:r>
    </w:p>
    <w:p w14:paraId="620B55AE" w14:textId="39428B85" w:rsidR="00CA0D7E" w:rsidRPr="001319E4" w:rsidRDefault="00CA0D7E" w:rsidP="00100016">
      <w:pPr>
        <w:pStyle w:val="Paragrafoelenco"/>
        <w:widowControl w:val="0"/>
        <w:numPr>
          <w:ilvl w:val="0"/>
          <w:numId w:val="28"/>
        </w:numPr>
        <w:shd w:val="clear" w:color="auto" w:fill="FFFFFF"/>
        <w:suppressAutoHyphens w:val="0"/>
        <w:spacing w:after="120"/>
        <w:ind w:left="426"/>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 xml:space="preserve">l’utilizzo di eventuali resti assunzionali consente il superamento delle percentuali massime di </w:t>
      </w:r>
      <w:r w:rsidR="0009527C" w:rsidRPr="001319E4">
        <w:rPr>
          <w:rFonts w:ascii="Bookman Old Style" w:hAnsi="Bookman Old Style" w:cs="Calibri"/>
          <w:bCs/>
          <w:color w:val="222222"/>
          <w:sz w:val="24"/>
          <w:szCs w:val="24"/>
        </w:rPr>
        <w:t>crescita (art. 5, comma 2)</w:t>
      </w:r>
      <w:r w:rsidRPr="001319E4">
        <w:rPr>
          <w:rFonts w:ascii="Bookman Old Style" w:hAnsi="Bookman Old Style" w:cs="Calibri"/>
          <w:bCs/>
          <w:color w:val="222222"/>
          <w:sz w:val="24"/>
          <w:szCs w:val="24"/>
        </w:rPr>
        <w:t>;</w:t>
      </w:r>
    </w:p>
    <w:p w14:paraId="0CF64B8C" w14:textId="07D18FD3" w:rsidR="00CA0D7E" w:rsidRPr="001319E4" w:rsidRDefault="00CA0D7E" w:rsidP="00100016">
      <w:pPr>
        <w:pStyle w:val="Paragrafoelenco"/>
        <w:widowControl w:val="0"/>
        <w:numPr>
          <w:ilvl w:val="0"/>
          <w:numId w:val="28"/>
        </w:numPr>
        <w:shd w:val="clear" w:color="auto" w:fill="FFFFFF"/>
        <w:suppressAutoHyphens w:val="0"/>
        <w:spacing w:after="120"/>
        <w:ind w:left="426"/>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 xml:space="preserve">la maggior spesa per assunzioni di personale a tempo indeterminato derivante da quanto previsto dagli articoli 4 e 5 non rileva ai fini del rispetto del limite di spesa previsto dall’articolo 1, commi 557-quater e 562, della legge 27 dicembre 2006 n. 296 (art. </w:t>
      </w:r>
      <w:r w:rsidR="0006550A" w:rsidRPr="001319E4">
        <w:rPr>
          <w:rFonts w:ascii="Bookman Old Style" w:hAnsi="Bookman Old Style" w:cs="Calibri"/>
          <w:bCs/>
          <w:color w:val="222222"/>
          <w:sz w:val="24"/>
          <w:szCs w:val="24"/>
        </w:rPr>
        <w:t>7, comma 1</w:t>
      </w:r>
      <w:r w:rsidRPr="001319E4">
        <w:rPr>
          <w:rFonts w:ascii="Bookman Old Style" w:hAnsi="Bookman Old Style" w:cs="Calibri"/>
          <w:bCs/>
          <w:color w:val="222222"/>
          <w:sz w:val="24"/>
          <w:szCs w:val="24"/>
        </w:rPr>
        <w:t>).</w:t>
      </w:r>
    </w:p>
    <w:p w14:paraId="1D6F2413" w14:textId="51E99D0C" w:rsidR="00E2663C" w:rsidRPr="001319E4" w:rsidRDefault="00E2663C">
      <w:pPr>
        <w:suppressAutoHyphens w:val="0"/>
        <w:rPr>
          <w:rFonts w:ascii="Bookman Old Style" w:hAnsi="Bookman Old Style" w:cs="Calibri"/>
          <w:bCs/>
          <w:color w:val="222222"/>
          <w:sz w:val="24"/>
          <w:szCs w:val="24"/>
        </w:rPr>
      </w:pPr>
    </w:p>
    <w:p w14:paraId="47D50C42" w14:textId="433CC720" w:rsidR="00985EC6" w:rsidRPr="001319E4" w:rsidRDefault="00985EC6" w:rsidP="00985EC6">
      <w:pPr>
        <w:pStyle w:val="Paragrafoelenco"/>
        <w:widowControl w:val="0"/>
        <w:numPr>
          <w:ilvl w:val="0"/>
          <w:numId w:val="31"/>
        </w:numPr>
        <w:shd w:val="clear" w:color="auto" w:fill="FFFFFF"/>
        <w:suppressAutoHyphens w:val="0"/>
        <w:spacing w:after="120"/>
        <w:jc w:val="both"/>
        <w:rPr>
          <w:rFonts w:ascii="Bookman Old Style" w:hAnsi="Bookman Old Style" w:cs="Calibri"/>
          <w:b/>
          <w:color w:val="222222"/>
          <w:sz w:val="24"/>
          <w:szCs w:val="24"/>
        </w:rPr>
      </w:pPr>
      <w:r w:rsidRPr="001319E4">
        <w:rPr>
          <w:rFonts w:ascii="Bookman Old Style" w:hAnsi="Bookman Old Style" w:cs="Calibri"/>
          <w:b/>
          <w:color w:val="222222"/>
          <w:sz w:val="24"/>
          <w:szCs w:val="24"/>
        </w:rPr>
        <w:t>Comuni con una incidenza della spesa di personale sulle entrate correnti elevata, che devono attuare politiche di contenimento della spesa di personale in relazione alle entrate correnti.</w:t>
      </w:r>
    </w:p>
    <w:p w14:paraId="2663FA9B" w14:textId="1DC47A59" w:rsidR="00985EC6" w:rsidRPr="001319E4" w:rsidRDefault="00985EC6" w:rsidP="00D8179F">
      <w:pPr>
        <w:widowControl w:val="0"/>
        <w:shd w:val="clear" w:color="auto" w:fill="FFFFFF"/>
        <w:suppressAutoHyphens w:val="0"/>
        <w:spacing w:after="120"/>
        <w:jc w:val="both"/>
        <w:rPr>
          <w:rFonts w:ascii="Bookman Old Style" w:hAnsi="Bookman Old Style" w:cs="Calibri"/>
          <w:bCs/>
          <w:color w:val="222222"/>
          <w:sz w:val="24"/>
          <w:szCs w:val="24"/>
        </w:rPr>
      </w:pPr>
    </w:p>
    <w:p w14:paraId="159672D0" w14:textId="6F0BCEF4" w:rsidR="00F10A2D" w:rsidRPr="001319E4" w:rsidRDefault="00F10A2D" w:rsidP="00D8179F">
      <w:pPr>
        <w:widowControl w:val="0"/>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 xml:space="preserve">L’art. 6 del Decreto individua una seconda e più elevata misura di valori-soglia per </w:t>
      </w:r>
      <w:r w:rsidR="00D20B58" w:rsidRPr="001319E4">
        <w:rPr>
          <w:rFonts w:ascii="Bookman Old Style" w:hAnsi="Bookman Old Style" w:cs="Calibri"/>
          <w:bCs/>
          <w:color w:val="222222"/>
          <w:sz w:val="24"/>
          <w:szCs w:val="24"/>
        </w:rPr>
        <w:t xml:space="preserve">ciascuna </w:t>
      </w:r>
      <w:r w:rsidRPr="001319E4">
        <w:rPr>
          <w:rFonts w:ascii="Bookman Old Style" w:hAnsi="Bookman Old Style" w:cs="Calibri"/>
          <w:bCs/>
          <w:color w:val="222222"/>
          <w:sz w:val="24"/>
          <w:szCs w:val="24"/>
        </w:rPr>
        <w:t>fascia demografica</w:t>
      </w:r>
      <w:r w:rsidR="00E2663C" w:rsidRPr="001319E4">
        <w:rPr>
          <w:rFonts w:ascii="Bookman Old Style" w:hAnsi="Bookman Old Style" w:cs="Calibri"/>
          <w:bCs/>
          <w:color w:val="222222"/>
          <w:sz w:val="24"/>
          <w:szCs w:val="24"/>
        </w:rPr>
        <w:t xml:space="preserve"> (ulteriori 4 punti percentuali rispetto a quella della Tabella 1)</w:t>
      </w:r>
      <w:r w:rsidR="00D20B58" w:rsidRPr="001319E4">
        <w:rPr>
          <w:rFonts w:ascii="Bookman Old Style" w:hAnsi="Bookman Old Style" w:cs="Calibri"/>
          <w:bCs/>
          <w:color w:val="222222"/>
          <w:sz w:val="24"/>
          <w:szCs w:val="24"/>
        </w:rPr>
        <w:t xml:space="preserve">. </w:t>
      </w:r>
    </w:p>
    <w:p w14:paraId="35FCAF08" w14:textId="63C3635D" w:rsidR="00E2663C" w:rsidRPr="001319E4" w:rsidRDefault="00E2663C" w:rsidP="00A30037">
      <w:pPr>
        <w:widowControl w:val="0"/>
        <w:shd w:val="clear" w:color="auto" w:fill="FFFFFF"/>
        <w:suppressAutoHyphens w:val="0"/>
        <w:spacing w:after="0"/>
        <w:jc w:val="both"/>
        <w:rPr>
          <w:rFonts w:ascii="Bookman Old Style" w:hAnsi="Bookman Old Style" w:cs="Calibri"/>
          <w:bCs/>
          <w:i/>
          <w:iCs/>
          <w:color w:val="222222"/>
          <w:sz w:val="24"/>
          <w:szCs w:val="24"/>
        </w:rPr>
      </w:pPr>
      <w:r w:rsidRPr="001319E4">
        <w:rPr>
          <w:rFonts w:ascii="Bookman Old Style" w:hAnsi="Bookman Old Style" w:cs="Calibri"/>
          <w:bCs/>
          <w:i/>
          <w:iCs/>
          <w:color w:val="222222"/>
          <w:sz w:val="24"/>
          <w:szCs w:val="24"/>
        </w:rPr>
        <w:t xml:space="preserve"> </w:t>
      </w:r>
      <w:r w:rsidRPr="001319E4">
        <w:rPr>
          <w:rFonts w:ascii="Bookman Old Style" w:hAnsi="Bookman Old Style" w:cs="Calibri"/>
          <w:bCs/>
          <w:i/>
          <w:iCs/>
          <w:color w:val="222222"/>
          <w:sz w:val="24"/>
          <w:szCs w:val="24"/>
        </w:rPr>
        <w:tab/>
        <w:t>Tabella 3</w:t>
      </w:r>
    </w:p>
    <w:tbl>
      <w:tblPr>
        <w:tblStyle w:val="Grigliatabella"/>
        <w:tblW w:w="4417" w:type="pct"/>
        <w:tblInd w:w="562" w:type="dxa"/>
        <w:shd w:val="clear" w:color="auto" w:fill="F2F2F2" w:themeFill="background1" w:themeFillShade="F2"/>
        <w:tblLook w:val="04A0" w:firstRow="1" w:lastRow="0" w:firstColumn="1" w:lastColumn="0" w:noHBand="0" w:noVBand="1"/>
      </w:tblPr>
      <w:tblGrid>
        <w:gridCol w:w="5812"/>
        <w:gridCol w:w="2693"/>
      </w:tblGrid>
      <w:tr w:rsidR="00A5075F" w:rsidRPr="001319E4" w14:paraId="0257B0BB" w14:textId="77777777" w:rsidTr="00A9579E">
        <w:tc>
          <w:tcPr>
            <w:tcW w:w="3417" w:type="pct"/>
            <w:shd w:val="clear" w:color="auto" w:fill="F2F2F2" w:themeFill="background1" w:themeFillShade="F2"/>
          </w:tcPr>
          <w:p w14:paraId="4665B3BE" w14:textId="77777777" w:rsidR="003C4F84" w:rsidRPr="001319E4" w:rsidRDefault="003C4F84" w:rsidP="00A9579E">
            <w:pPr>
              <w:pStyle w:val="Paragrafoelenco"/>
              <w:shd w:val="clear" w:color="auto" w:fill="F2F2F2" w:themeFill="background1" w:themeFillShade="F2"/>
              <w:tabs>
                <w:tab w:val="left" w:pos="8789"/>
              </w:tabs>
              <w:ind w:left="142"/>
              <w:contextualSpacing w:val="0"/>
              <w:rPr>
                <w:rFonts w:ascii="Bookman Old Style" w:hAnsi="Bookman Old Style"/>
                <w:sz w:val="20"/>
                <w:szCs w:val="20"/>
              </w:rPr>
            </w:pPr>
            <w:r w:rsidRPr="001319E4">
              <w:rPr>
                <w:rFonts w:ascii="Bookman Old Style" w:hAnsi="Bookman Old Style"/>
                <w:sz w:val="20"/>
                <w:szCs w:val="20"/>
              </w:rPr>
              <w:t xml:space="preserve">Fasce demografiche </w:t>
            </w:r>
          </w:p>
        </w:tc>
        <w:tc>
          <w:tcPr>
            <w:tcW w:w="1583" w:type="pct"/>
            <w:shd w:val="clear" w:color="auto" w:fill="F2F2F2" w:themeFill="background1" w:themeFillShade="F2"/>
          </w:tcPr>
          <w:p w14:paraId="46AD530B" w14:textId="77777777" w:rsidR="003C4F84" w:rsidRPr="001319E4" w:rsidRDefault="003C4F84" w:rsidP="00A9579E">
            <w:pPr>
              <w:pStyle w:val="Paragrafoelenco"/>
              <w:shd w:val="clear" w:color="auto" w:fill="F2F2F2" w:themeFill="background1" w:themeFillShade="F2"/>
              <w:tabs>
                <w:tab w:val="left" w:pos="8789"/>
              </w:tabs>
              <w:ind w:left="142"/>
              <w:contextualSpacing w:val="0"/>
              <w:jc w:val="center"/>
              <w:rPr>
                <w:rFonts w:ascii="Bookman Old Style" w:hAnsi="Bookman Old Style"/>
                <w:sz w:val="20"/>
                <w:szCs w:val="20"/>
              </w:rPr>
            </w:pPr>
            <w:r w:rsidRPr="001319E4">
              <w:rPr>
                <w:rFonts w:ascii="Bookman Old Style" w:hAnsi="Bookman Old Style"/>
                <w:sz w:val="20"/>
                <w:szCs w:val="20"/>
              </w:rPr>
              <w:t>Valore soglia</w:t>
            </w:r>
          </w:p>
        </w:tc>
      </w:tr>
      <w:tr w:rsidR="00A5075F" w:rsidRPr="001319E4" w14:paraId="19F61F8D" w14:textId="77777777" w:rsidTr="00472F3D">
        <w:tc>
          <w:tcPr>
            <w:tcW w:w="3417" w:type="pct"/>
            <w:shd w:val="clear" w:color="auto" w:fill="F2F2F2" w:themeFill="background1" w:themeFillShade="F2"/>
          </w:tcPr>
          <w:p w14:paraId="7923A057" w14:textId="5875D512" w:rsidR="003C4F84" w:rsidRPr="001319E4" w:rsidRDefault="003C4F84" w:rsidP="0005723E">
            <w:pPr>
              <w:pStyle w:val="Paragrafoelenco"/>
              <w:numPr>
                <w:ilvl w:val="0"/>
                <w:numId w:val="15"/>
              </w:numPr>
              <w:shd w:val="clear" w:color="auto" w:fill="F2F2F2" w:themeFill="background1" w:themeFillShade="F2"/>
              <w:suppressAutoHyphens w:val="0"/>
              <w:ind w:left="142" w:hanging="785"/>
              <w:contextualSpacing w:val="0"/>
              <w:jc w:val="both"/>
              <w:rPr>
                <w:rFonts w:ascii="Bookman Old Style" w:hAnsi="Bookman Old Style"/>
                <w:sz w:val="20"/>
                <w:szCs w:val="20"/>
              </w:rPr>
            </w:pPr>
            <w:r w:rsidRPr="001319E4">
              <w:rPr>
                <w:rFonts w:ascii="Bookman Old Style" w:hAnsi="Bookman Old Style"/>
                <w:sz w:val="20"/>
                <w:szCs w:val="20"/>
              </w:rPr>
              <w:t xml:space="preserve">a) </w:t>
            </w:r>
            <w:r w:rsidR="00A30037" w:rsidRPr="001319E4">
              <w:rPr>
                <w:rFonts w:ascii="Bookman Old Style" w:hAnsi="Bookman Old Style"/>
                <w:sz w:val="20"/>
                <w:szCs w:val="20"/>
              </w:rPr>
              <w:t xml:space="preserve">        </w:t>
            </w:r>
            <w:r w:rsidRPr="001319E4">
              <w:rPr>
                <w:rFonts w:ascii="Bookman Old Style" w:hAnsi="Bookman Old Style"/>
                <w:sz w:val="20"/>
                <w:szCs w:val="20"/>
              </w:rPr>
              <w:t>comuni con meno di 1.000 abitanti</w:t>
            </w:r>
          </w:p>
        </w:tc>
        <w:tc>
          <w:tcPr>
            <w:tcW w:w="1583" w:type="pct"/>
            <w:shd w:val="clear" w:color="auto" w:fill="F2F2F2" w:themeFill="background1" w:themeFillShade="F2"/>
          </w:tcPr>
          <w:p w14:paraId="66CB2277"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33,5 %</w:t>
            </w:r>
          </w:p>
        </w:tc>
      </w:tr>
      <w:tr w:rsidR="00A5075F" w:rsidRPr="001319E4" w14:paraId="3E5575C8" w14:textId="77777777" w:rsidTr="00472F3D">
        <w:tc>
          <w:tcPr>
            <w:tcW w:w="3417" w:type="pct"/>
            <w:shd w:val="clear" w:color="auto" w:fill="F2F2F2" w:themeFill="background1" w:themeFillShade="F2"/>
          </w:tcPr>
          <w:p w14:paraId="1225226B"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 xml:space="preserve">comuni da 1.000 a 1.999 abitanti       </w:t>
            </w:r>
          </w:p>
        </w:tc>
        <w:tc>
          <w:tcPr>
            <w:tcW w:w="1583" w:type="pct"/>
            <w:shd w:val="clear" w:color="auto" w:fill="F2F2F2" w:themeFill="background1" w:themeFillShade="F2"/>
          </w:tcPr>
          <w:p w14:paraId="35A60D35"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32,6 %</w:t>
            </w:r>
          </w:p>
        </w:tc>
      </w:tr>
      <w:tr w:rsidR="00A5075F" w:rsidRPr="001319E4" w14:paraId="66E3B97D" w14:textId="77777777" w:rsidTr="00472F3D">
        <w:tc>
          <w:tcPr>
            <w:tcW w:w="3417" w:type="pct"/>
            <w:shd w:val="clear" w:color="auto" w:fill="F2F2F2" w:themeFill="background1" w:themeFillShade="F2"/>
          </w:tcPr>
          <w:p w14:paraId="6F945717"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 xml:space="preserve">comuni da 2.000 a 2.999 abitanti       </w:t>
            </w:r>
          </w:p>
        </w:tc>
        <w:tc>
          <w:tcPr>
            <w:tcW w:w="1583" w:type="pct"/>
            <w:shd w:val="clear" w:color="auto" w:fill="F2F2F2" w:themeFill="background1" w:themeFillShade="F2"/>
          </w:tcPr>
          <w:p w14:paraId="28DDFA9A"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31,6 %</w:t>
            </w:r>
          </w:p>
        </w:tc>
      </w:tr>
      <w:tr w:rsidR="00A5075F" w:rsidRPr="001319E4" w14:paraId="3015B17F" w14:textId="77777777" w:rsidTr="00472F3D">
        <w:tc>
          <w:tcPr>
            <w:tcW w:w="3417" w:type="pct"/>
            <w:shd w:val="clear" w:color="auto" w:fill="F2F2F2" w:themeFill="background1" w:themeFillShade="F2"/>
          </w:tcPr>
          <w:p w14:paraId="494FDE8E"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 xml:space="preserve">comuni da 3.000 a 4.999 abitanti       </w:t>
            </w:r>
          </w:p>
        </w:tc>
        <w:tc>
          <w:tcPr>
            <w:tcW w:w="1583" w:type="pct"/>
            <w:shd w:val="clear" w:color="auto" w:fill="F2F2F2" w:themeFill="background1" w:themeFillShade="F2"/>
          </w:tcPr>
          <w:p w14:paraId="1819C7E1"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31,2 %</w:t>
            </w:r>
          </w:p>
        </w:tc>
      </w:tr>
      <w:tr w:rsidR="00A5075F" w:rsidRPr="001319E4" w14:paraId="308205E7" w14:textId="77777777" w:rsidTr="00472F3D">
        <w:tc>
          <w:tcPr>
            <w:tcW w:w="3417" w:type="pct"/>
            <w:shd w:val="clear" w:color="auto" w:fill="F2F2F2" w:themeFill="background1" w:themeFillShade="F2"/>
          </w:tcPr>
          <w:p w14:paraId="4B4715CD"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 xml:space="preserve">comuni da 5.000 a 9.999 abitanti     </w:t>
            </w:r>
          </w:p>
        </w:tc>
        <w:tc>
          <w:tcPr>
            <w:tcW w:w="1583" w:type="pct"/>
            <w:shd w:val="clear" w:color="auto" w:fill="F2F2F2" w:themeFill="background1" w:themeFillShade="F2"/>
          </w:tcPr>
          <w:p w14:paraId="011C29F3"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30,9 %</w:t>
            </w:r>
          </w:p>
        </w:tc>
      </w:tr>
      <w:tr w:rsidR="00A5075F" w:rsidRPr="001319E4" w14:paraId="382F7609" w14:textId="77777777" w:rsidTr="00472F3D">
        <w:tc>
          <w:tcPr>
            <w:tcW w:w="3417" w:type="pct"/>
            <w:shd w:val="clear" w:color="auto" w:fill="F2F2F2" w:themeFill="background1" w:themeFillShade="F2"/>
          </w:tcPr>
          <w:p w14:paraId="0729325C"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 xml:space="preserve">comuni da 10.000 a 59.999 abitanti     </w:t>
            </w:r>
          </w:p>
        </w:tc>
        <w:tc>
          <w:tcPr>
            <w:tcW w:w="1583" w:type="pct"/>
            <w:shd w:val="clear" w:color="auto" w:fill="F2F2F2" w:themeFill="background1" w:themeFillShade="F2"/>
          </w:tcPr>
          <w:p w14:paraId="527D9E51"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31,0 %</w:t>
            </w:r>
          </w:p>
        </w:tc>
      </w:tr>
      <w:tr w:rsidR="00A5075F" w:rsidRPr="001319E4" w14:paraId="38BC91C7" w14:textId="77777777" w:rsidTr="00472F3D">
        <w:tc>
          <w:tcPr>
            <w:tcW w:w="3417" w:type="pct"/>
            <w:shd w:val="clear" w:color="auto" w:fill="F2F2F2" w:themeFill="background1" w:themeFillShade="F2"/>
          </w:tcPr>
          <w:p w14:paraId="0FD008F2"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 xml:space="preserve">comuni da 60.000 a 249.999 abitanti </w:t>
            </w:r>
          </w:p>
        </w:tc>
        <w:tc>
          <w:tcPr>
            <w:tcW w:w="1583" w:type="pct"/>
            <w:shd w:val="clear" w:color="auto" w:fill="F2F2F2" w:themeFill="background1" w:themeFillShade="F2"/>
          </w:tcPr>
          <w:p w14:paraId="3AF3DEF1"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31,6 %</w:t>
            </w:r>
          </w:p>
        </w:tc>
      </w:tr>
      <w:tr w:rsidR="00A5075F" w:rsidRPr="001319E4" w14:paraId="3709DF20" w14:textId="77777777" w:rsidTr="00472F3D">
        <w:tc>
          <w:tcPr>
            <w:tcW w:w="3417" w:type="pct"/>
            <w:shd w:val="clear" w:color="auto" w:fill="F2F2F2" w:themeFill="background1" w:themeFillShade="F2"/>
          </w:tcPr>
          <w:p w14:paraId="35314B0C"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 xml:space="preserve">comuni da 250.0000 a 1.499.999 abitanti </w:t>
            </w:r>
          </w:p>
        </w:tc>
        <w:tc>
          <w:tcPr>
            <w:tcW w:w="1583" w:type="pct"/>
            <w:shd w:val="clear" w:color="auto" w:fill="F2F2F2" w:themeFill="background1" w:themeFillShade="F2"/>
          </w:tcPr>
          <w:p w14:paraId="3F18D756"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32,8 %</w:t>
            </w:r>
          </w:p>
        </w:tc>
      </w:tr>
      <w:tr w:rsidR="00A5075F" w:rsidRPr="001319E4" w14:paraId="65834F12" w14:textId="77777777" w:rsidTr="00472F3D">
        <w:tc>
          <w:tcPr>
            <w:tcW w:w="3417" w:type="pct"/>
            <w:shd w:val="clear" w:color="auto" w:fill="F2F2F2" w:themeFill="background1" w:themeFillShade="F2"/>
          </w:tcPr>
          <w:p w14:paraId="10C1A326" w14:textId="77777777" w:rsidR="003C4F84" w:rsidRPr="001319E4" w:rsidRDefault="003C4F84" w:rsidP="0005723E">
            <w:pPr>
              <w:pStyle w:val="Paragrafoelenco"/>
              <w:numPr>
                <w:ilvl w:val="0"/>
                <w:numId w:val="15"/>
              </w:numPr>
              <w:shd w:val="clear" w:color="auto" w:fill="F2F2F2" w:themeFill="background1" w:themeFillShade="F2"/>
              <w:suppressAutoHyphens w:val="0"/>
              <w:ind w:left="142" w:firstLine="0"/>
              <w:contextualSpacing w:val="0"/>
              <w:jc w:val="both"/>
              <w:rPr>
                <w:rFonts w:ascii="Bookman Old Style" w:hAnsi="Bookman Old Style"/>
                <w:sz w:val="20"/>
                <w:szCs w:val="20"/>
              </w:rPr>
            </w:pPr>
            <w:r w:rsidRPr="001319E4">
              <w:rPr>
                <w:rFonts w:ascii="Bookman Old Style" w:hAnsi="Bookman Old Style"/>
                <w:sz w:val="20"/>
                <w:szCs w:val="20"/>
              </w:rPr>
              <w:t>comuni con 1.500.000 di abitanti e oltre</w:t>
            </w:r>
          </w:p>
        </w:tc>
        <w:tc>
          <w:tcPr>
            <w:tcW w:w="1583" w:type="pct"/>
            <w:shd w:val="clear" w:color="auto" w:fill="F2F2F2" w:themeFill="background1" w:themeFillShade="F2"/>
          </w:tcPr>
          <w:p w14:paraId="6F9C9815" w14:textId="77777777" w:rsidR="003C4F84" w:rsidRPr="001319E4" w:rsidRDefault="003C4F84" w:rsidP="0005723E">
            <w:pPr>
              <w:pStyle w:val="Paragrafoelenco"/>
              <w:shd w:val="clear" w:color="auto" w:fill="F2F2F2" w:themeFill="background1" w:themeFillShade="F2"/>
              <w:ind w:left="142"/>
              <w:contextualSpacing w:val="0"/>
              <w:jc w:val="center"/>
              <w:rPr>
                <w:rFonts w:ascii="Bookman Old Style" w:hAnsi="Bookman Old Style"/>
                <w:sz w:val="20"/>
                <w:szCs w:val="20"/>
              </w:rPr>
            </w:pPr>
            <w:r w:rsidRPr="001319E4">
              <w:rPr>
                <w:rFonts w:ascii="Bookman Old Style" w:hAnsi="Bookman Old Style"/>
                <w:sz w:val="20"/>
                <w:szCs w:val="20"/>
              </w:rPr>
              <w:t>29,3 %</w:t>
            </w:r>
          </w:p>
        </w:tc>
      </w:tr>
    </w:tbl>
    <w:p w14:paraId="27D47CCD" w14:textId="77777777" w:rsidR="00F10A2D" w:rsidRPr="001319E4" w:rsidRDefault="00F10A2D" w:rsidP="00E50B14">
      <w:pPr>
        <w:widowControl w:val="0"/>
        <w:shd w:val="clear" w:color="auto" w:fill="FFFFFF"/>
        <w:spacing w:after="120"/>
        <w:jc w:val="both"/>
        <w:rPr>
          <w:rFonts w:ascii="Bookman Old Style" w:hAnsi="Bookman Old Style" w:cs="Calibri"/>
          <w:bCs/>
          <w:color w:val="000000" w:themeColor="text1"/>
          <w:sz w:val="24"/>
          <w:szCs w:val="24"/>
        </w:rPr>
      </w:pPr>
    </w:p>
    <w:p w14:paraId="3FB5AA9F" w14:textId="049FDE68" w:rsidR="00D20B58" w:rsidRPr="001319E4" w:rsidRDefault="00D20B58" w:rsidP="00D20B58">
      <w:pPr>
        <w:widowControl w:val="0"/>
        <w:shd w:val="clear" w:color="auto" w:fill="FFFFFF"/>
        <w:suppressAutoHyphens w:val="0"/>
        <w:spacing w:after="120"/>
        <w:jc w:val="both"/>
        <w:rPr>
          <w:rFonts w:ascii="Bookman Old Style" w:hAnsi="Bookman Old Style" w:cs="Calibri"/>
          <w:bCs/>
          <w:sz w:val="24"/>
          <w:szCs w:val="24"/>
        </w:rPr>
      </w:pPr>
      <w:r w:rsidRPr="001319E4">
        <w:rPr>
          <w:rFonts w:ascii="Bookman Old Style" w:hAnsi="Bookman Old Style" w:cs="Calibri"/>
          <w:bCs/>
          <w:sz w:val="24"/>
          <w:szCs w:val="24"/>
        </w:rPr>
        <w:t xml:space="preserve">I </w:t>
      </w:r>
      <w:r w:rsidR="00E2663C" w:rsidRPr="001319E4">
        <w:rPr>
          <w:rFonts w:ascii="Bookman Old Style" w:hAnsi="Bookman Old Style" w:cs="Calibri"/>
          <w:bCs/>
          <w:sz w:val="24"/>
          <w:szCs w:val="24"/>
        </w:rPr>
        <w:t>C</w:t>
      </w:r>
      <w:r w:rsidRPr="001319E4">
        <w:rPr>
          <w:rFonts w:ascii="Bookman Old Style" w:hAnsi="Bookman Old Style" w:cs="Calibri"/>
          <w:bCs/>
          <w:sz w:val="24"/>
          <w:szCs w:val="24"/>
        </w:rPr>
        <w:t xml:space="preserve">omuni con incidenza tra spesa di personale ed entrate correnti più elevata rispetto ai valori-soglia stabiliti in Tabella 3 sono tenuti ad adottare un percorso di graduale riduzione annuale del suddetto rapporto </w:t>
      </w:r>
      <w:r w:rsidR="005D2C30" w:rsidRPr="001319E4">
        <w:rPr>
          <w:rFonts w:ascii="Bookman Old Style" w:hAnsi="Bookman Old Style" w:cs="Calibri"/>
          <w:bCs/>
          <w:sz w:val="24"/>
          <w:szCs w:val="24"/>
        </w:rPr>
        <w:t>per convergere, al massimo</w:t>
      </w:r>
      <w:r w:rsidRPr="001319E4">
        <w:rPr>
          <w:rFonts w:ascii="Bookman Old Style" w:hAnsi="Bookman Old Style" w:cs="Calibri"/>
          <w:bCs/>
          <w:sz w:val="24"/>
          <w:szCs w:val="24"/>
        </w:rPr>
        <w:t xml:space="preserve"> nell'anno 2025</w:t>
      </w:r>
      <w:r w:rsidR="005D2C30" w:rsidRPr="001319E4">
        <w:rPr>
          <w:rFonts w:ascii="Bookman Old Style" w:hAnsi="Bookman Old Style" w:cs="Calibri"/>
          <w:bCs/>
          <w:sz w:val="24"/>
          <w:szCs w:val="24"/>
        </w:rPr>
        <w:t>,</w:t>
      </w:r>
      <w:r w:rsidRPr="001319E4">
        <w:rPr>
          <w:rFonts w:ascii="Bookman Old Style" w:hAnsi="Bookman Old Style" w:cs="Calibri"/>
          <w:bCs/>
          <w:sz w:val="24"/>
          <w:szCs w:val="24"/>
        </w:rPr>
        <w:t xml:space="preserve"> </w:t>
      </w:r>
      <w:r w:rsidR="005D2C30" w:rsidRPr="001319E4">
        <w:rPr>
          <w:rFonts w:ascii="Bookman Old Style" w:hAnsi="Bookman Old Style" w:cs="Calibri"/>
          <w:bCs/>
          <w:sz w:val="24"/>
          <w:szCs w:val="24"/>
        </w:rPr>
        <w:t>verso i</w:t>
      </w:r>
      <w:r w:rsidRPr="001319E4">
        <w:rPr>
          <w:rFonts w:ascii="Bookman Old Style" w:hAnsi="Bookman Old Style" w:cs="Calibri"/>
          <w:bCs/>
          <w:sz w:val="24"/>
          <w:szCs w:val="24"/>
        </w:rPr>
        <w:t>l predetto valore soglia.</w:t>
      </w:r>
      <w:r w:rsidR="00840F2B" w:rsidRPr="001319E4">
        <w:rPr>
          <w:rFonts w:ascii="Bookman Old Style" w:hAnsi="Bookman Old Style" w:cs="Calibri"/>
          <w:bCs/>
          <w:sz w:val="24"/>
          <w:szCs w:val="24"/>
        </w:rPr>
        <w:t xml:space="preserve"> La Circolare chiarisce che a tal fine gli Enti possono operare sia sulla leva delle entrate che su quella della spesa di personale, eventualmente “anche” applicando un </w:t>
      </w:r>
      <w:r w:rsidR="00840F2B" w:rsidRPr="001319E4">
        <w:rPr>
          <w:rFonts w:ascii="Bookman Old Style" w:hAnsi="Bookman Old Style" w:cs="Calibri"/>
          <w:bCs/>
          <w:i/>
          <w:iCs/>
          <w:sz w:val="24"/>
          <w:szCs w:val="24"/>
        </w:rPr>
        <w:t>turn over</w:t>
      </w:r>
      <w:r w:rsidR="00840F2B" w:rsidRPr="001319E4">
        <w:rPr>
          <w:rFonts w:ascii="Bookman Old Style" w:hAnsi="Bookman Old Style" w:cs="Calibri"/>
          <w:bCs/>
          <w:sz w:val="24"/>
          <w:szCs w:val="24"/>
        </w:rPr>
        <w:t xml:space="preserve"> inferiore al 100 per cento.</w:t>
      </w:r>
    </w:p>
    <w:p w14:paraId="5778A0AA" w14:textId="3CF3F7D7" w:rsidR="00D20B58" w:rsidRPr="001319E4" w:rsidRDefault="005D2C30" w:rsidP="00E50B14">
      <w:pPr>
        <w:widowControl w:val="0"/>
        <w:shd w:val="clear" w:color="auto" w:fill="FFFFFF"/>
        <w:spacing w:after="120"/>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L’art. 6 del Decreto</w:t>
      </w:r>
      <w:r w:rsidR="00E2663C" w:rsidRPr="001319E4">
        <w:rPr>
          <w:rFonts w:ascii="Bookman Old Style" w:hAnsi="Bookman Old Style" w:cs="Calibri"/>
          <w:bCs/>
          <w:color w:val="000000" w:themeColor="text1"/>
          <w:sz w:val="24"/>
          <w:szCs w:val="24"/>
        </w:rPr>
        <w:t xml:space="preserve">, </w:t>
      </w:r>
      <w:r w:rsidR="00A30037" w:rsidRPr="001319E4">
        <w:rPr>
          <w:rFonts w:ascii="Bookman Old Style" w:hAnsi="Bookman Old Style" w:cs="Calibri"/>
          <w:bCs/>
          <w:color w:val="000000" w:themeColor="text1"/>
          <w:sz w:val="24"/>
          <w:szCs w:val="24"/>
        </w:rPr>
        <w:t>in coerenza con</w:t>
      </w:r>
      <w:r w:rsidR="00E2663C" w:rsidRPr="001319E4">
        <w:rPr>
          <w:rFonts w:ascii="Bookman Old Style" w:hAnsi="Bookman Old Style" w:cs="Calibri"/>
          <w:bCs/>
          <w:color w:val="000000" w:themeColor="text1"/>
          <w:sz w:val="24"/>
          <w:szCs w:val="24"/>
        </w:rPr>
        <w:t xml:space="preserve"> la norma primaria,</w:t>
      </w:r>
      <w:r w:rsidRPr="001319E4">
        <w:rPr>
          <w:rFonts w:ascii="Bookman Old Style" w:hAnsi="Bookman Old Style" w:cs="Calibri"/>
          <w:bCs/>
          <w:color w:val="000000" w:themeColor="text1"/>
          <w:sz w:val="24"/>
          <w:szCs w:val="24"/>
        </w:rPr>
        <w:t xml:space="preserve"> prevede una riduzione del </w:t>
      </w:r>
      <w:r w:rsidRPr="001319E4">
        <w:rPr>
          <w:rFonts w:ascii="Bookman Old Style" w:hAnsi="Bookman Old Style" w:cs="Calibri"/>
          <w:bCs/>
          <w:i/>
          <w:iCs/>
          <w:color w:val="000000" w:themeColor="text1"/>
          <w:sz w:val="24"/>
          <w:szCs w:val="24"/>
        </w:rPr>
        <w:t>turn-over</w:t>
      </w:r>
      <w:r w:rsidRPr="001319E4">
        <w:rPr>
          <w:rFonts w:ascii="Bookman Old Style" w:hAnsi="Bookman Old Style" w:cs="Calibri"/>
          <w:bCs/>
          <w:color w:val="000000" w:themeColor="text1"/>
          <w:sz w:val="24"/>
          <w:szCs w:val="24"/>
        </w:rPr>
        <w:t xml:space="preserve"> al 30%, sino al raggiungimento della soglia, solo a partire dall’anno 2025, nel caso in cui a tale data non sia stata raggiunta la soglia-obiettivo.</w:t>
      </w:r>
    </w:p>
    <w:p w14:paraId="365EAF31" w14:textId="77777777" w:rsidR="00B35BD3" w:rsidRPr="001319E4" w:rsidRDefault="00B35BD3" w:rsidP="00E50B14">
      <w:pPr>
        <w:widowControl w:val="0"/>
        <w:shd w:val="clear" w:color="auto" w:fill="FFFFFF"/>
        <w:spacing w:after="120"/>
        <w:jc w:val="both"/>
        <w:rPr>
          <w:rFonts w:ascii="Bookman Old Style" w:hAnsi="Bookman Old Style" w:cs="Calibri"/>
          <w:bCs/>
          <w:color w:val="000000" w:themeColor="text1"/>
          <w:sz w:val="24"/>
          <w:szCs w:val="24"/>
        </w:rPr>
      </w:pPr>
    </w:p>
    <w:p w14:paraId="14575784" w14:textId="25E623C9" w:rsidR="005D177D" w:rsidRPr="001319E4" w:rsidRDefault="005D177D">
      <w:pPr>
        <w:suppressAutoHyphens w:val="0"/>
        <w:rPr>
          <w:rFonts w:ascii="Bookman Old Style" w:hAnsi="Bookman Old Style" w:cs="Calibri"/>
          <w:b/>
          <w:color w:val="222222"/>
          <w:sz w:val="24"/>
          <w:szCs w:val="24"/>
          <w:u w:val="single"/>
        </w:rPr>
      </w:pPr>
    </w:p>
    <w:p w14:paraId="77ECA998" w14:textId="705F5546" w:rsidR="00985EC6" w:rsidRPr="001319E4" w:rsidRDefault="00E2663C" w:rsidP="005D2C30">
      <w:pPr>
        <w:pStyle w:val="Paragrafoelenco"/>
        <w:widowControl w:val="0"/>
        <w:numPr>
          <w:ilvl w:val="0"/>
          <w:numId w:val="31"/>
        </w:numPr>
        <w:shd w:val="clear" w:color="auto" w:fill="FFFFFF"/>
        <w:suppressAutoHyphens w:val="0"/>
        <w:spacing w:after="120"/>
        <w:jc w:val="both"/>
        <w:rPr>
          <w:rFonts w:ascii="Bookman Old Style" w:hAnsi="Bookman Old Style" w:cs="Calibri"/>
          <w:b/>
          <w:color w:val="222222"/>
          <w:sz w:val="24"/>
          <w:szCs w:val="24"/>
          <w:u w:val="single"/>
        </w:rPr>
      </w:pPr>
      <w:r w:rsidRPr="001319E4">
        <w:rPr>
          <w:rFonts w:ascii="Bookman Old Style" w:hAnsi="Bookman Old Style" w:cs="Calibri"/>
          <w:b/>
          <w:color w:val="222222"/>
          <w:sz w:val="24"/>
          <w:szCs w:val="24"/>
          <w:u w:val="single"/>
        </w:rPr>
        <w:t xml:space="preserve">Comuni </w:t>
      </w:r>
      <w:r w:rsidR="00985EC6" w:rsidRPr="001319E4">
        <w:rPr>
          <w:rFonts w:ascii="Bookman Old Style" w:hAnsi="Bookman Old Style" w:cs="Calibri"/>
          <w:b/>
          <w:color w:val="222222"/>
          <w:sz w:val="24"/>
          <w:szCs w:val="24"/>
          <w:u w:val="single"/>
        </w:rPr>
        <w:t>con una incidenza della spesa di personale sulle entrate correnti intermedia, che devono fare attenzione a non peggiorare il valore di tale incidenza</w:t>
      </w:r>
      <w:r w:rsidR="00840F2B" w:rsidRPr="001319E4">
        <w:rPr>
          <w:rFonts w:ascii="Bookman Old Style" w:hAnsi="Bookman Old Style" w:cs="Calibri"/>
          <w:b/>
          <w:color w:val="222222"/>
          <w:sz w:val="24"/>
          <w:szCs w:val="24"/>
          <w:u w:val="single"/>
        </w:rPr>
        <w:t>.</w:t>
      </w:r>
    </w:p>
    <w:p w14:paraId="5E69AD6B" w14:textId="5F507323" w:rsidR="005D2C30" w:rsidRPr="001319E4" w:rsidRDefault="005D2C30" w:rsidP="00580186">
      <w:pPr>
        <w:widowControl w:val="0"/>
        <w:shd w:val="clear" w:color="auto" w:fill="FFFFFF"/>
        <w:suppressAutoHyphens w:val="0"/>
        <w:spacing w:after="120"/>
        <w:jc w:val="both"/>
        <w:rPr>
          <w:rFonts w:ascii="Bookman Old Style" w:hAnsi="Bookman Old Style" w:cs="Calibri"/>
          <w:bCs/>
          <w:color w:val="222222"/>
          <w:sz w:val="24"/>
          <w:szCs w:val="24"/>
        </w:rPr>
      </w:pPr>
      <w:r w:rsidRPr="001319E4">
        <w:rPr>
          <w:rFonts w:ascii="Bookman Old Style" w:hAnsi="Bookman Old Style" w:cs="Calibri"/>
          <w:bCs/>
          <w:color w:val="222222"/>
          <w:sz w:val="24"/>
          <w:szCs w:val="24"/>
        </w:rPr>
        <w:t xml:space="preserve">Il Decreto individua, all’art. 6, comma 3, la fattispecie dei Comuni per i quali l’incidenza della spesa di personale sulle entrate correnti si colloca in posizione intermedia rispetto ai valori soglia definiti dalle tabelle 1 e 3. </w:t>
      </w:r>
      <w:r w:rsidR="00B3258D" w:rsidRPr="001319E4">
        <w:rPr>
          <w:rFonts w:ascii="Bookman Old Style" w:hAnsi="Bookman Old Style" w:cs="Calibri"/>
          <w:bCs/>
          <w:color w:val="222222"/>
          <w:sz w:val="24"/>
          <w:szCs w:val="24"/>
        </w:rPr>
        <w:t>Come chiarisce la Circolare, q</w:t>
      </w:r>
      <w:r w:rsidR="00580186" w:rsidRPr="001319E4">
        <w:rPr>
          <w:rFonts w:ascii="Bookman Old Style" w:hAnsi="Bookman Old Style" w:cs="Calibri"/>
          <w:bCs/>
          <w:color w:val="222222"/>
          <w:sz w:val="24"/>
          <w:szCs w:val="24"/>
        </w:rPr>
        <w:t xml:space="preserve">uesti </w:t>
      </w:r>
      <w:r w:rsidRPr="001319E4">
        <w:rPr>
          <w:rFonts w:ascii="Bookman Old Style" w:hAnsi="Bookman Old Style" w:cs="Calibri"/>
          <w:bCs/>
          <w:color w:val="222222"/>
          <w:sz w:val="24"/>
          <w:szCs w:val="24"/>
        </w:rPr>
        <w:t xml:space="preserve">Enti, in ciascun esercizio di riferimento, </w:t>
      </w:r>
      <w:r w:rsidR="00580186" w:rsidRPr="001319E4">
        <w:rPr>
          <w:rFonts w:ascii="Bookman Old Style" w:hAnsi="Bookman Old Style" w:cs="Calibri"/>
          <w:bCs/>
          <w:color w:val="222222"/>
          <w:sz w:val="24"/>
          <w:szCs w:val="24"/>
        </w:rPr>
        <w:t>non possono incrementare il valore del predetto rapporto rispetto a quello corrispondente registrato nell’ultimo rendiconto della gestione approvato.</w:t>
      </w:r>
    </w:p>
    <w:p w14:paraId="17CEA906" w14:textId="77777777" w:rsidR="00AD164A" w:rsidRPr="001319E4" w:rsidRDefault="00AD164A" w:rsidP="00E50B14">
      <w:pPr>
        <w:jc w:val="both"/>
        <w:rPr>
          <w:rFonts w:ascii="Bookman Old Style" w:hAnsi="Bookman Old Style" w:cs="Calibri"/>
          <w:bCs/>
          <w:color w:val="000000" w:themeColor="text1"/>
          <w:sz w:val="24"/>
          <w:szCs w:val="24"/>
        </w:rPr>
      </w:pPr>
    </w:p>
    <w:p w14:paraId="4FE5586B" w14:textId="0B5A4CBF" w:rsidR="00AD164A" w:rsidRPr="001319E4" w:rsidRDefault="00467974" w:rsidP="00E50B14">
      <w:pPr>
        <w:jc w:val="both"/>
        <w:rPr>
          <w:rFonts w:ascii="Bookman Old Style" w:hAnsi="Bookman Old Style" w:cs="Calibri"/>
          <w:b/>
          <w:color w:val="000000" w:themeColor="text1"/>
          <w:sz w:val="24"/>
          <w:szCs w:val="24"/>
        </w:rPr>
      </w:pPr>
      <w:r w:rsidRPr="001319E4">
        <w:rPr>
          <w:rFonts w:ascii="Bookman Old Style" w:hAnsi="Bookman Old Style" w:cs="Calibri"/>
          <w:b/>
          <w:color w:val="000000" w:themeColor="text1"/>
          <w:sz w:val="24"/>
          <w:szCs w:val="24"/>
        </w:rPr>
        <w:t>1.4</w:t>
      </w:r>
      <w:r w:rsidR="00AD164A" w:rsidRPr="001319E4">
        <w:rPr>
          <w:rFonts w:ascii="Bookman Old Style" w:hAnsi="Bookman Old Style" w:cs="Calibri"/>
          <w:b/>
          <w:color w:val="000000" w:themeColor="text1"/>
          <w:sz w:val="24"/>
          <w:szCs w:val="24"/>
        </w:rPr>
        <w:t xml:space="preserve"> </w:t>
      </w:r>
      <w:r w:rsidR="00580186" w:rsidRPr="001319E4">
        <w:rPr>
          <w:rFonts w:ascii="Bookman Old Style" w:hAnsi="Bookman Old Style" w:cs="Calibri"/>
          <w:b/>
          <w:color w:val="000000" w:themeColor="text1"/>
          <w:sz w:val="24"/>
          <w:szCs w:val="24"/>
        </w:rPr>
        <w:t>M</w:t>
      </w:r>
      <w:r w:rsidR="00AD164A" w:rsidRPr="001319E4">
        <w:rPr>
          <w:rFonts w:ascii="Bookman Old Style" w:hAnsi="Bookman Old Style" w:cs="Calibri"/>
          <w:b/>
          <w:color w:val="000000" w:themeColor="text1"/>
          <w:sz w:val="24"/>
          <w:szCs w:val="24"/>
        </w:rPr>
        <w:t>isure per i piccoli Comuni e le Unioni</w:t>
      </w:r>
      <w:r w:rsidR="00580186" w:rsidRPr="001319E4">
        <w:rPr>
          <w:rFonts w:ascii="Bookman Old Style" w:hAnsi="Bookman Old Style" w:cs="Calibri"/>
          <w:b/>
          <w:color w:val="000000" w:themeColor="text1"/>
          <w:sz w:val="24"/>
          <w:szCs w:val="24"/>
        </w:rPr>
        <w:t xml:space="preserve"> di </w:t>
      </w:r>
      <w:r w:rsidR="00A30037" w:rsidRPr="001319E4">
        <w:rPr>
          <w:rFonts w:ascii="Bookman Old Style" w:hAnsi="Bookman Old Style" w:cs="Calibri"/>
          <w:b/>
          <w:color w:val="000000" w:themeColor="text1"/>
          <w:sz w:val="24"/>
          <w:szCs w:val="24"/>
        </w:rPr>
        <w:t>comuni</w:t>
      </w:r>
    </w:p>
    <w:p w14:paraId="63B7A2F0" w14:textId="1E4F5490" w:rsidR="00AE7337" w:rsidRPr="001319E4" w:rsidRDefault="00AE7337" w:rsidP="004E7D5C">
      <w:pPr>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Un</w:t>
      </w:r>
      <w:r w:rsidR="00580186" w:rsidRPr="001319E4">
        <w:rPr>
          <w:rFonts w:ascii="Bookman Old Style" w:hAnsi="Bookman Old Style" w:cs="Calibri"/>
          <w:bCs/>
          <w:color w:val="000000" w:themeColor="text1"/>
          <w:sz w:val="24"/>
          <w:szCs w:val="24"/>
        </w:rPr>
        <w:t xml:space="preserve">a </w:t>
      </w:r>
      <w:r w:rsidRPr="001319E4">
        <w:rPr>
          <w:rFonts w:ascii="Bookman Old Style" w:hAnsi="Bookman Old Style" w:cs="Calibri"/>
          <w:bCs/>
          <w:color w:val="000000" w:themeColor="text1"/>
          <w:sz w:val="24"/>
          <w:szCs w:val="24"/>
        </w:rPr>
        <w:t xml:space="preserve">misura </w:t>
      </w:r>
      <w:r w:rsidR="00A30037" w:rsidRPr="001319E4">
        <w:rPr>
          <w:rFonts w:ascii="Bookman Old Style" w:hAnsi="Bookman Old Style" w:cs="Calibri"/>
          <w:bCs/>
          <w:color w:val="000000" w:themeColor="text1"/>
          <w:sz w:val="24"/>
          <w:szCs w:val="24"/>
        </w:rPr>
        <w:t xml:space="preserve">richiesta </w:t>
      </w:r>
      <w:r w:rsidRPr="001319E4">
        <w:rPr>
          <w:rFonts w:ascii="Bookman Old Style" w:hAnsi="Bookman Old Style" w:cs="Calibri"/>
          <w:bCs/>
          <w:color w:val="000000" w:themeColor="text1"/>
          <w:sz w:val="24"/>
          <w:szCs w:val="24"/>
        </w:rPr>
        <w:t xml:space="preserve">dall’ANCI per i piccoli Comuni è contenuta al comma 3 dell’art. </w:t>
      </w:r>
      <w:r w:rsidR="001D4CA4" w:rsidRPr="001319E4">
        <w:rPr>
          <w:rFonts w:ascii="Bookman Old Style" w:hAnsi="Bookman Old Style" w:cs="Calibri"/>
          <w:bCs/>
          <w:color w:val="000000" w:themeColor="text1"/>
          <w:sz w:val="24"/>
          <w:szCs w:val="24"/>
        </w:rPr>
        <w:t>5</w:t>
      </w:r>
      <w:r w:rsidRPr="001319E4">
        <w:rPr>
          <w:rFonts w:ascii="Bookman Old Style" w:hAnsi="Bookman Old Style" w:cs="Calibri"/>
          <w:bCs/>
          <w:color w:val="000000" w:themeColor="text1"/>
          <w:sz w:val="24"/>
          <w:szCs w:val="24"/>
        </w:rPr>
        <w:t xml:space="preserve">, </w:t>
      </w:r>
      <w:r w:rsidR="00A17CB1" w:rsidRPr="001319E4">
        <w:rPr>
          <w:rFonts w:ascii="Bookman Old Style" w:hAnsi="Bookman Old Style" w:cs="Calibri"/>
          <w:bCs/>
          <w:color w:val="000000" w:themeColor="text1"/>
          <w:sz w:val="24"/>
          <w:szCs w:val="24"/>
        </w:rPr>
        <w:t>per</w:t>
      </w:r>
      <w:r w:rsidRPr="001319E4">
        <w:rPr>
          <w:rFonts w:ascii="Bookman Old Style" w:hAnsi="Bookman Old Style" w:cs="Calibri"/>
          <w:bCs/>
          <w:color w:val="000000" w:themeColor="text1"/>
          <w:sz w:val="24"/>
          <w:szCs w:val="24"/>
        </w:rPr>
        <w:t xml:space="preserve"> il periodo 2020-2024</w:t>
      </w:r>
      <w:r w:rsidR="007370E4" w:rsidRPr="001319E4">
        <w:rPr>
          <w:rFonts w:ascii="Bookman Old Style" w:hAnsi="Bookman Old Style" w:cs="Calibri"/>
          <w:bCs/>
          <w:color w:val="000000" w:themeColor="text1"/>
          <w:sz w:val="24"/>
          <w:szCs w:val="24"/>
        </w:rPr>
        <w:t xml:space="preserve">. </w:t>
      </w:r>
      <w:r w:rsidR="00354309" w:rsidRPr="001319E4">
        <w:rPr>
          <w:rFonts w:ascii="Bookman Old Style" w:hAnsi="Bookman Old Style" w:cs="Calibri"/>
          <w:bCs/>
          <w:color w:val="000000" w:themeColor="text1"/>
          <w:sz w:val="24"/>
          <w:szCs w:val="24"/>
        </w:rPr>
        <w:t>Come chiarito anche dalla Circolare, i</w:t>
      </w:r>
      <w:r w:rsidRPr="001319E4">
        <w:rPr>
          <w:rFonts w:ascii="Bookman Old Style" w:hAnsi="Bookman Old Style" w:cs="Calibri"/>
          <w:bCs/>
          <w:color w:val="000000" w:themeColor="text1"/>
          <w:sz w:val="24"/>
          <w:szCs w:val="24"/>
        </w:rPr>
        <w:t xml:space="preserve"> </w:t>
      </w:r>
      <w:r w:rsidR="00A17CB1" w:rsidRPr="001319E4">
        <w:rPr>
          <w:rFonts w:ascii="Bookman Old Style" w:hAnsi="Bookman Old Style" w:cs="Calibri"/>
          <w:bCs/>
          <w:color w:val="000000" w:themeColor="text1"/>
          <w:sz w:val="24"/>
          <w:szCs w:val="24"/>
        </w:rPr>
        <w:t>C</w:t>
      </w:r>
      <w:r w:rsidRPr="001319E4">
        <w:rPr>
          <w:rFonts w:ascii="Bookman Old Style" w:hAnsi="Bookman Old Style" w:cs="Calibri"/>
          <w:bCs/>
          <w:color w:val="000000" w:themeColor="text1"/>
          <w:sz w:val="24"/>
          <w:szCs w:val="24"/>
        </w:rPr>
        <w:t xml:space="preserve">omuni con </w:t>
      </w:r>
      <w:r w:rsidR="00B902F7" w:rsidRPr="001319E4">
        <w:rPr>
          <w:rFonts w:ascii="Bookman Old Style" w:hAnsi="Bookman Old Style" w:cs="Calibri"/>
          <w:bCs/>
          <w:color w:val="000000" w:themeColor="text1"/>
          <w:sz w:val="24"/>
          <w:szCs w:val="24"/>
        </w:rPr>
        <w:t xml:space="preserve">meno di </w:t>
      </w:r>
      <w:r w:rsidRPr="001319E4">
        <w:rPr>
          <w:rFonts w:ascii="Bookman Old Style" w:hAnsi="Bookman Old Style" w:cs="Calibri"/>
          <w:bCs/>
          <w:color w:val="000000" w:themeColor="text1"/>
          <w:sz w:val="24"/>
          <w:szCs w:val="24"/>
        </w:rPr>
        <w:t>5</w:t>
      </w:r>
      <w:r w:rsidR="00A17CB1" w:rsidRPr="001319E4">
        <w:rPr>
          <w:rFonts w:ascii="Bookman Old Style" w:hAnsi="Bookman Old Style" w:cs="Calibri"/>
          <w:bCs/>
          <w:color w:val="000000" w:themeColor="text1"/>
          <w:sz w:val="24"/>
          <w:szCs w:val="24"/>
        </w:rPr>
        <w:t>.000</w:t>
      </w:r>
      <w:r w:rsidRPr="001319E4">
        <w:rPr>
          <w:rFonts w:ascii="Bookman Old Style" w:hAnsi="Bookman Old Style" w:cs="Calibri"/>
          <w:bCs/>
          <w:color w:val="000000" w:themeColor="text1"/>
          <w:sz w:val="24"/>
          <w:szCs w:val="24"/>
        </w:rPr>
        <w:t xml:space="preserve"> abitanti, che si collocano al di sotto del valore soglia </w:t>
      </w:r>
      <w:r w:rsidR="00A17CB1" w:rsidRPr="001319E4">
        <w:rPr>
          <w:rFonts w:ascii="Bookman Old Style" w:hAnsi="Bookman Old Style" w:cs="Calibri"/>
          <w:bCs/>
          <w:color w:val="000000" w:themeColor="text1"/>
          <w:sz w:val="24"/>
          <w:szCs w:val="24"/>
        </w:rPr>
        <w:t>definito dall’articolo 4 (valore-soglia più basso)</w:t>
      </w:r>
      <w:r w:rsidR="004A4506" w:rsidRPr="001319E4">
        <w:rPr>
          <w:rFonts w:ascii="Bookman Old Style" w:hAnsi="Bookman Old Style" w:cs="Calibri"/>
          <w:bCs/>
          <w:color w:val="000000" w:themeColor="text1"/>
          <w:sz w:val="24"/>
          <w:szCs w:val="24"/>
        </w:rPr>
        <w:t>,</w:t>
      </w:r>
      <w:r w:rsidRPr="001319E4">
        <w:rPr>
          <w:rFonts w:ascii="Bookman Old Style" w:hAnsi="Bookman Old Style" w:cs="Calibri"/>
          <w:bCs/>
          <w:color w:val="000000" w:themeColor="text1"/>
          <w:sz w:val="24"/>
          <w:szCs w:val="24"/>
        </w:rPr>
        <w:t xml:space="preserve"> che fanno parte </w:t>
      </w:r>
      <w:r w:rsidR="00A17CB1" w:rsidRPr="001319E4">
        <w:rPr>
          <w:rFonts w:ascii="Bookman Old Style" w:hAnsi="Bookman Old Style" w:cs="Calibri"/>
          <w:bCs/>
          <w:color w:val="000000" w:themeColor="text1"/>
          <w:sz w:val="24"/>
          <w:szCs w:val="24"/>
        </w:rPr>
        <w:t xml:space="preserve">di </w:t>
      </w:r>
      <w:r w:rsidR="00A17CB1" w:rsidRPr="001319E4">
        <w:rPr>
          <w:rFonts w:ascii="Bookman Old Style" w:hAnsi="Bookman Old Style" w:cs="Calibri"/>
          <w:b/>
          <w:color w:val="000000" w:themeColor="text1"/>
          <w:sz w:val="24"/>
          <w:szCs w:val="24"/>
          <w:u w:val="single"/>
        </w:rPr>
        <w:t xml:space="preserve">Unioni di </w:t>
      </w:r>
      <w:r w:rsidR="00A30037" w:rsidRPr="001319E4">
        <w:rPr>
          <w:rFonts w:ascii="Bookman Old Style" w:hAnsi="Bookman Old Style" w:cs="Calibri"/>
          <w:b/>
          <w:color w:val="000000" w:themeColor="text1"/>
          <w:sz w:val="24"/>
          <w:szCs w:val="24"/>
          <w:u w:val="single"/>
        </w:rPr>
        <w:t>comuni</w:t>
      </w:r>
      <w:r w:rsidRPr="001319E4">
        <w:rPr>
          <w:rFonts w:ascii="Bookman Old Style" w:hAnsi="Bookman Old Style" w:cs="Calibri"/>
          <w:bCs/>
          <w:color w:val="000000" w:themeColor="text1"/>
          <w:sz w:val="24"/>
          <w:szCs w:val="24"/>
        </w:rPr>
        <w:t xml:space="preserve"> e per i quali la maggior spesa </w:t>
      </w:r>
      <w:r w:rsidR="00A17CB1" w:rsidRPr="001319E4">
        <w:rPr>
          <w:rFonts w:ascii="Bookman Old Style" w:hAnsi="Bookman Old Style" w:cs="Calibri"/>
          <w:bCs/>
          <w:color w:val="000000" w:themeColor="text1"/>
          <w:sz w:val="24"/>
          <w:szCs w:val="24"/>
        </w:rPr>
        <w:t xml:space="preserve">di </w:t>
      </w:r>
      <w:r w:rsidRPr="001319E4">
        <w:rPr>
          <w:rFonts w:ascii="Bookman Old Style" w:hAnsi="Bookman Old Style" w:cs="Calibri"/>
          <w:bCs/>
          <w:color w:val="000000" w:themeColor="text1"/>
          <w:sz w:val="24"/>
          <w:szCs w:val="24"/>
        </w:rPr>
        <w:t xml:space="preserve">personale </w:t>
      </w:r>
      <w:r w:rsidR="00556768" w:rsidRPr="001319E4">
        <w:rPr>
          <w:rFonts w:ascii="Bookman Old Style" w:hAnsi="Bookman Old Style" w:cs="Calibri"/>
          <w:bCs/>
          <w:color w:val="000000" w:themeColor="text1"/>
          <w:sz w:val="24"/>
          <w:szCs w:val="24"/>
        </w:rPr>
        <w:t>consentita dal decreto</w:t>
      </w:r>
      <w:r w:rsidR="00A17CB1" w:rsidRPr="001319E4">
        <w:rPr>
          <w:rFonts w:ascii="Bookman Old Style" w:hAnsi="Bookman Old Style" w:cs="Calibri"/>
          <w:bCs/>
          <w:color w:val="000000" w:themeColor="text1"/>
          <w:sz w:val="24"/>
          <w:szCs w:val="24"/>
        </w:rPr>
        <w:t xml:space="preserve"> non risulterebbe </w:t>
      </w:r>
      <w:r w:rsidRPr="001319E4">
        <w:rPr>
          <w:rFonts w:ascii="Bookman Old Style" w:hAnsi="Bookman Old Style" w:cs="Calibri"/>
          <w:bCs/>
          <w:color w:val="000000" w:themeColor="text1"/>
          <w:sz w:val="24"/>
          <w:szCs w:val="24"/>
        </w:rPr>
        <w:t xml:space="preserve">sufficiente all’assunzione di </w:t>
      </w:r>
      <w:r w:rsidR="00556768" w:rsidRPr="001319E4">
        <w:rPr>
          <w:rFonts w:ascii="Bookman Old Style" w:hAnsi="Bookman Old Style" w:cs="Calibri"/>
          <w:bCs/>
          <w:color w:val="000000" w:themeColor="text1"/>
          <w:sz w:val="24"/>
          <w:szCs w:val="24"/>
        </w:rPr>
        <w:t xml:space="preserve">almeno </w:t>
      </w:r>
      <w:r w:rsidRPr="001319E4">
        <w:rPr>
          <w:rFonts w:ascii="Bookman Old Style" w:hAnsi="Bookman Old Style" w:cs="Calibri"/>
          <w:bCs/>
          <w:color w:val="000000" w:themeColor="text1"/>
          <w:sz w:val="24"/>
          <w:szCs w:val="24"/>
        </w:rPr>
        <w:t xml:space="preserve">una unità di personale a tempo indeterminato, </w:t>
      </w:r>
      <w:r w:rsidR="00A17CB1" w:rsidRPr="001319E4">
        <w:rPr>
          <w:rFonts w:ascii="Bookman Old Style" w:hAnsi="Bookman Old Style" w:cs="Calibri"/>
          <w:bCs/>
          <w:color w:val="000000" w:themeColor="text1"/>
          <w:sz w:val="24"/>
          <w:szCs w:val="24"/>
        </w:rPr>
        <w:t xml:space="preserve">hanno la facoltà </w:t>
      </w:r>
      <w:r w:rsidR="00A30037" w:rsidRPr="001319E4">
        <w:rPr>
          <w:rFonts w:ascii="Bookman Old Style" w:hAnsi="Bookman Old Style" w:cs="Calibri"/>
          <w:bCs/>
          <w:color w:val="000000" w:themeColor="text1"/>
          <w:sz w:val="24"/>
          <w:szCs w:val="24"/>
        </w:rPr>
        <w:t xml:space="preserve">di </w:t>
      </w:r>
      <w:r w:rsidRPr="001319E4">
        <w:rPr>
          <w:rFonts w:ascii="Bookman Old Style" w:hAnsi="Bookman Old Style" w:cs="Calibri"/>
          <w:bCs/>
          <w:color w:val="000000" w:themeColor="text1"/>
          <w:sz w:val="24"/>
          <w:szCs w:val="24"/>
        </w:rPr>
        <w:t>incrementare la propria spesa nella misura massima di 38.000 euro</w:t>
      </w:r>
      <w:r w:rsidR="009B61BF" w:rsidRPr="001319E4">
        <w:rPr>
          <w:rFonts w:ascii="Bookman Old Style" w:hAnsi="Bookman Old Style" w:cs="Calibri"/>
          <w:bCs/>
          <w:color w:val="000000" w:themeColor="text1"/>
          <w:sz w:val="24"/>
          <w:szCs w:val="24"/>
        </w:rPr>
        <w:t xml:space="preserve"> (costo medio lordo stimato per un dipendente a tempo pieno e indeterminato)</w:t>
      </w:r>
      <w:r w:rsidR="00A17CB1" w:rsidRPr="001319E4">
        <w:rPr>
          <w:rFonts w:ascii="Bookman Old Style" w:hAnsi="Bookman Old Style" w:cs="Calibri"/>
          <w:bCs/>
          <w:color w:val="000000" w:themeColor="text1"/>
          <w:sz w:val="24"/>
          <w:szCs w:val="24"/>
        </w:rPr>
        <w:t xml:space="preserve">, al fine di assumere </w:t>
      </w:r>
      <w:r w:rsidRPr="001319E4">
        <w:rPr>
          <w:rFonts w:ascii="Bookman Old Style" w:hAnsi="Bookman Old Style" w:cs="Calibri"/>
          <w:bCs/>
          <w:color w:val="000000" w:themeColor="text1"/>
          <w:sz w:val="24"/>
          <w:szCs w:val="24"/>
        </w:rPr>
        <w:t xml:space="preserve">a tempo indeterminato </w:t>
      </w:r>
      <w:r w:rsidR="00A17CB1" w:rsidRPr="001319E4">
        <w:rPr>
          <w:rFonts w:ascii="Bookman Old Style" w:hAnsi="Bookman Old Style" w:cs="Calibri"/>
          <w:bCs/>
          <w:color w:val="000000" w:themeColor="text1"/>
          <w:sz w:val="24"/>
          <w:szCs w:val="24"/>
        </w:rPr>
        <w:t>un’</w:t>
      </w:r>
      <w:r w:rsidRPr="001319E4">
        <w:rPr>
          <w:rFonts w:ascii="Bookman Old Style" w:hAnsi="Bookman Old Style" w:cs="Calibri"/>
          <w:bCs/>
          <w:color w:val="000000" w:themeColor="text1"/>
          <w:sz w:val="24"/>
          <w:szCs w:val="24"/>
        </w:rPr>
        <w:t xml:space="preserve">unità di personale </w:t>
      </w:r>
      <w:r w:rsidR="00A17CB1" w:rsidRPr="001319E4">
        <w:rPr>
          <w:rFonts w:ascii="Bookman Old Style" w:hAnsi="Bookman Old Style" w:cs="Calibri"/>
          <w:bCs/>
          <w:color w:val="000000" w:themeColor="text1"/>
          <w:sz w:val="24"/>
          <w:szCs w:val="24"/>
        </w:rPr>
        <w:t>da collocare</w:t>
      </w:r>
      <w:r w:rsidRPr="001319E4">
        <w:rPr>
          <w:rFonts w:ascii="Bookman Old Style" w:hAnsi="Bookman Old Style" w:cs="Calibri"/>
          <w:bCs/>
          <w:color w:val="000000" w:themeColor="text1"/>
          <w:sz w:val="24"/>
          <w:szCs w:val="24"/>
        </w:rPr>
        <w:t xml:space="preserve"> in comando obbligatorio presso l</w:t>
      </w:r>
      <w:r w:rsidR="00A17CB1" w:rsidRPr="001319E4">
        <w:rPr>
          <w:rFonts w:ascii="Bookman Old Style" w:hAnsi="Bookman Old Style" w:cs="Calibri"/>
          <w:bCs/>
          <w:color w:val="000000" w:themeColor="text1"/>
          <w:sz w:val="24"/>
          <w:szCs w:val="24"/>
        </w:rPr>
        <w:t>’</w:t>
      </w:r>
      <w:r w:rsidRPr="001319E4">
        <w:rPr>
          <w:rFonts w:ascii="Bookman Old Style" w:hAnsi="Bookman Old Style" w:cs="Calibri"/>
          <w:bCs/>
          <w:color w:val="000000" w:themeColor="text1"/>
          <w:sz w:val="24"/>
          <w:szCs w:val="24"/>
        </w:rPr>
        <w:t>Unione</w:t>
      </w:r>
      <w:r w:rsidR="00A17CB1" w:rsidRPr="001319E4">
        <w:rPr>
          <w:rFonts w:ascii="Bookman Old Style" w:hAnsi="Bookman Old Style" w:cs="Calibri"/>
          <w:bCs/>
          <w:color w:val="000000" w:themeColor="text1"/>
          <w:sz w:val="24"/>
          <w:szCs w:val="24"/>
        </w:rPr>
        <w:t>,</w:t>
      </w:r>
      <w:r w:rsidRPr="001319E4">
        <w:rPr>
          <w:rFonts w:ascii="Bookman Old Style" w:hAnsi="Bookman Old Style" w:cs="Calibri"/>
          <w:bCs/>
          <w:color w:val="000000" w:themeColor="text1"/>
          <w:sz w:val="24"/>
          <w:szCs w:val="24"/>
        </w:rPr>
        <w:t xml:space="preserve"> con oneri a carico della </w:t>
      </w:r>
      <w:r w:rsidR="00A17CB1" w:rsidRPr="001319E4">
        <w:rPr>
          <w:rFonts w:ascii="Bookman Old Style" w:hAnsi="Bookman Old Style" w:cs="Calibri"/>
          <w:bCs/>
          <w:color w:val="000000" w:themeColor="text1"/>
          <w:sz w:val="24"/>
          <w:szCs w:val="24"/>
        </w:rPr>
        <w:t>stessa</w:t>
      </w:r>
      <w:r w:rsidRPr="001319E4">
        <w:rPr>
          <w:rFonts w:ascii="Bookman Old Style" w:hAnsi="Bookman Old Style" w:cs="Calibri"/>
          <w:bCs/>
          <w:color w:val="000000" w:themeColor="text1"/>
          <w:sz w:val="24"/>
          <w:szCs w:val="24"/>
        </w:rPr>
        <w:t>.</w:t>
      </w:r>
      <w:r w:rsidR="00556768" w:rsidRPr="001319E4">
        <w:rPr>
          <w:rFonts w:ascii="Bookman Old Style" w:hAnsi="Bookman Old Style" w:cs="Calibri"/>
          <w:bCs/>
          <w:color w:val="000000" w:themeColor="text1"/>
          <w:sz w:val="24"/>
          <w:szCs w:val="24"/>
        </w:rPr>
        <w:t xml:space="preserve"> </w:t>
      </w:r>
    </w:p>
    <w:p w14:paraId="46D7500C" w14:textId="5D70B25D" w:rsidR="00556768" w:rsidRPr="001319E4" w:rsidRDefault="000E640A" w:rsidP="001319E4">
      <w:pPr>
        <w:jc w:val="both"/>
        <w:rPr>
          <w:rFonts w:ascii="Bookman Old Style" w:hAnsi="Bookman Old Style" w:cs="Calibri"/>
          <w:bCs/>
          <w:color w:val="000000" w:themeColor="text1"/>
          <w:sz w:val="24"/>
          <w:szCs w:val="24"/>
        </w:rPr>
      </w:pPr>
      <w:r w:rsidRPr="001319E4">
        <w:rPr>
          <w:rFonts w:ascii="Bookman Old Style" w:hAnsi="Bookman Old Style" w:cs="Calibri"/>
          <w:bCs/>
          <w:color w:val="000000" w:themeColor="text1"/>
          <w:sz w:val="24"/>
          <w:szCs w:val="24"/>
        </w:rPr>
        <w:t>A tal proposito, si ricorda la modifica di cui all’articolo 1</w:t>
      </w:r>
      <w:r w:rsidR="007370E4" w:rsidRPr="001319E4">
        <w:rPr>
          <w:rFonts w:ascii="Bookman Old Style" w:hAnsi="Bookman Old Style" w:cs="Calibri"/>
          <w:bCs/>
          <w:color w:val="000000" w:themeColor="text1"/>
          <w:sz w:val="24"/>
          <w:szCs w:val="24"/>
        </w:rPr>
        <w:t>,</w:t>
      </w:r>
      <w:r w:rsidRPr="001319E4">
        <w:rPr>
          <w:rFonts w:ascii="Bookman Old Style" w:hAnsi="Bookman Old Style" w:cs="Calibri"/>
          <w:bCs/>
          <w:color w:val="000000" w:themeColor="text1"/>
          <w:sz w:val="24"/>
          <w:szCs w:val="24"/>
        </w:rPr>
        <w:t xml:space="preserve"> comma 450</w:t>
      </w:r>
      <w:r w:rsidR="007370E4" w:rsidRPr="001319E4">
        <w:rPr>
          <w:rFonts w:ascii="Bookman Old Style" w:hAnsi="Bookman Old Style" w:cs="Calibri"/>
          <w:bCs/>
          <w:color w:val="000000" w:themeColor="text1"/>
          <w:sz w:val="24"/>
          <w:szCs w:val="24"/>
        </w:rPr>
        <w:t>,</w:t>
      </w:r>
      <w:r w:rsidRPr="001319E4">
        <w:rPr>
          <w:rFonts w:ascii="Bookman Old Style" w:hAnsi="Bookman Old Style" w:cs="Calibri"/>
          <w:bCs/>
          <w:color w:val="000000" w:themeColor="text1"/>
          <w:sz w:val="24"/>
          <w:szCs w:val="24"/>
        </w:rPr>
        <w:t xml:space="preserve"> della legge n.190/2014 che prevede, per i Comuni</w:t>
      </w:r>
      <w:r w:rsidR="001319E4">
        <w:rPr>
          <w:rFonts w:ascii="Bookman Old Style" w:hAnsi="Bookman Old Style" w:cs="Calibri"/>
          <w:bCs/>
          <w:color w:val="000000" w:themeColor="text1"/>
          <w:sz w:val="24"/>
          <w:szCs w:val="24"/>
        </w:rPr>
        <w:t xml:space="preserve"> </w:t>
      </w:r>
      <w:r w:rsidR="001319E4" w:rsidRPr="001319E4">
        <w:rPr>
          <w:rFonts w:ascii="Bookman Old Style" w:hAnsi="Bookman Old Style"/>
          <w:sz w:val="24"/>
          <w:szCs w:val="24"/>
        </w:rPr>
        <w:t>facenti parte di Unioni o di altre forme associative</w:t>
      </w:r>
      <w:r w:rsidRPr="001319E4">
        <w:rPr>
          <w:rFonts w:ascii="Bookman Old Style" w:hAnsi="Bookman Old Style" w:cs="Calibri"/>
          <w:bCs/>
          <w:color w:val="000000" w:themeColor="text1"/>
          <w:sz w:val="24"/>
          <w:szCs w:val="24"/>
        </w:rPr>
        <w:t xml:space="preserve"> di poter cumulare le spese di personale e le facoltà assunzionali. </w:t>
      </w:r>
    </w:p>
    <w:p w14:paraId="5647CF84" w14:textId="77777777" w:rsidR="00D35C6B" w:rsidRPr="001319E4" w:rsidRDefault="00D35C6B" w:rsidP="00672EE4">
      <w:pPr>
        <w:jc w:val="both"/>
        <w:rPr>
          <w:rFonts w:ascii="Bookman Old Style" w:hAnsi="Bookman Old Style"/>
          <w:b/>
          <w:bCs/>
          <w:sz w:val="24"/>
          <w:szCs w:val="24"/>
          <w:u w:val="single"/>
        </w:rPr>
      </w:pPr>
    </w:p>
    <w:p w14:paraId="799422B2" w14:textId="5A3D0925" w:rsidR="00E2663C" w:rsidRPr="001319E4" w:rsidRDefault="00E2663C">
      <w:pPr>
        <w:suppressAutoHyphens w:val="0"/>
        <w:rPr>
          <w:rFonts w:ascii="Bookman Old Style" w:hAnsi="Bookman Old Style"/>
          <w:b/>
          <w:bCs/>
          <w:sz w:val="24"/>
          <w:szCs w:val="24"/>
          <w:u w:val="single"/>
        </w:rPr>
      </w:pPr>
    </w:p>
    <w:sectPr w:rsidR="00E2663C" w:rsidRPr="001319E4">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7B32" w14:textId="77777777" w:rsidR="008336A8" w:rsidRDefault="008336A8" w:rsidP="007B47BF">
      <w:pPr>
        <w:spacing w:after="0" w:line="240" w:lineRule="auto"/>
      </w:pPr>
      <w:r>
        <w:separator/>
      </w:r>
    </w:p>
  </w:endnote>
  <w:endnote w:type="continuationSeparator" w:id="0">
    <w:p w14:paraId="744EB4B2" w14:textId="77777777" w:rsidR="008336A8" w:rsidRDefault="008336A8" w:rsidP="007B47BF">
      <w:pPr>
        <w:spacing w:after="0" w:line="240" w:lineRule="auto"/>
      </w:pPr>
      <w:r>
        <w:continuationSeparator/>
      </w:r>
    </w:p>
  </w:endnote>
  <w:endnote w:type="continuationNotice" w:id="1">
    <w:p w14:paraId="106DD8D6" w14:textId="77777777" w:rsidR="008336A8" w:rsidRDefault="00833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073539"/>
      <w:docPartObj>
        <w:docPartGallery w:val="Page Numbers (Bottom of Page)"/>
        <w:docPartUnique/>
      </w:docPartObj>
    </w:sdtPr>
    <w:sdtEndPr/>
    <w:sdtContent>
      <w:p w14:paraId="052A2F67" w14:textId="637C586D" w:rsidR="00551661" w:rsidRDefault="00551661">
        <w:pPr>
          <w:pStyle w:val="Pidipagina"/>
          <w:jc w:val="right"/>
        </w:pPr>
        <w:r>
          <w:fldChar w:fldCharType="begin"/>
        </w:r>
        <w:r>
          <w:instrText>PAGE   \* MERGEFORMAT</w:instrText>
        </w:r>
        <w:r>
          <w:fldChar w:fldCharType="separate"/>
        </w:r>
        <w:r w:rsidR="00CB10BB">
          <w:rPr>
            <w:noProof/>
          </w:rPr>
          <w:t>1</w:t>
        </w:r>
        <w:r>
          <w:fldChar w:fldCharType="end"/>
        </w:r>
      </w:p>
    </w:sdtContent>
  </w:sdt>
  <w:p w14:paraId="6FA2D7E0" w14:textId="77777777" w:rsidR="00551661" w:rsidRDefault="005516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C117" w14:textId="77777777" w:rsidR="008336A8" w:rsidRDefault="008336A8" w:rsidP="007B47BF">
      <w:pPr>
        <w:spacing w:after="0" w:line="240" w:lineRule="auto"/>
      </w:pPr>
      <w:r>
        <w:separator/>
      </w:r>
    </w:p>
  </w:footnote>
  <w:footnote w:type="continuationSeparator" w:id="0">
    <w:p w14:paraId="613E6797" w14:textId="77777777" w:rsidR="008336A8" w:rsidRDefault="008336A8" w:rsidP="007B47BF">
      <w:pPr>
        <w:spacing w:after="0" w:line="240" w:lineRule="auto"/>
      </w:pPr>
      <w:r>
        <w:continuationSeparator/>
      </w:r>
    </w:p>
  </w:footnote>
  <w:footnote w:type="continuationNotice" w:id="1">
    <w:p w14:paraId="03E82488" w14:textId="77777777" w:rsidR="008336A8" w:rsidRDefault="008336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33DB"/>
    <w:multiLevelType w:val="hybridMultilevel"/>
    <w:tmpl w:val="FCC235C2"/>
    <w:lvl w:ilvl="0" w:tplc="5C62A1D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697DE7"/>
    <w:multiLevelType w:val="hybridMultilevel"/>
    <w:tmpl w:val="51F6A2A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417191"/>
    <w:multiLevelType w:val="hybridMultilevel"/>
    <w:tmpl w:val="AB322568"/>
    <w:lvl w:ilvl="0" w:tplc="CFA0CBE6">
      <w:start w:val="3"/>
      <w:numFmt w:val="bullet"/>
      <w:lvlText w:val="-"/>
      <w:lvlJc w:val="left"/>
      <w:pPr>
        <w:ind w:left="720" w:hanging="360"/>
      </w:pPr>
      <w:rPr>
        <w:rFonts w:ascii="Bookman Old Style" w:eastAsia="Times New Roman" w:hAnsi="Bookman Old Style"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155BBA"/>
    <w:multiLevelType w:val="hybridMultilevel"/>
    <w:tmpl w:val="D0F00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4D51A4"/>
    <w:multiLevelType w:val="hybridMultilevel"/>
    <w:tmpl w:val="C41E4F46"/>
    <w:lvl w:ilvl="0" w:tplc="C2BE8204">
      <w:start w:val="1"/>
      <w:numFmt w:val="lowerLetter"/>
      <w:lvlText w:val="%1)"/>
      <w:lvlJc w:val="left"/>
      <w:pPr>
        <w:ind w:left="1287" w:hanging="360"/>
      </w:pPr>
      <w:rPr>
        <w:rFonts w:ascii="Cambria" w:eastAsia="Times New Roman" w:hAnsi="Cambria" w:hint="default"/>
        <w:color w:val="181818"/>
        <w:w w:val="106"/>
        <w:sz w:val="16"/>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1D9E6AF2"/>
    <w:multiLevelType w:val="hybridMultilevel"/>
    <w:tmpl w:val="116242C0"/>
    <w:lvl w:ilvl="0" w:tplc="5C62A1D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FC08F2"/>
    <w:multiLevelType w:val="hybridMultilevel"/>
    <w:tmpl w:val="3EE09A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1456E7"/>
    <w:multiLevelType w:val="hybridMultilevel"/>
    <w:tmpl w:val="65C25336"/>
    <w:lvl w:ilvl="0" w:tplc="72BE4F8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27830C28"/>
    <w:multiLevelType w:val="hybridMultilevel"/>
    <w:tmpl w:val="3FB2E63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ED019F2"/>
    <w:multiLevelType w:val="hybridMultilevel"/>
    <w:tmpl w:val="A184A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B24DCD"/>
    <w:multiLevelType w:val="hybridMultilevel"/>
    <w:tmpl w:val="46B86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876A79"/>
    <w:multiLevelType w:val="hybridMultilevel"/>
    <w:tmpl w:val="3EE09A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3B62FA"/>
    <w:multiLevelType w:val="hybridMultilevel"/>
    <w:tmpl w:val="7512A6DA"/>
    <w:lvl w:ilvl="0" w:tplc="826A99D2">
      <w:numFmt w:val="bullet"/>
      <w:lvlText w:val="-"/>
      <w:lvlJc w:val="left"/>
      <w:pPr>
        <w:ind w:left="720" w:hanging="360"/>
      </w:pPr>
      <w:rPr>
        <w:rFonts w:ascii="Bookman Old Style" w:eastAsia="Times New Roma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BC36AA"/>
    <w:multiLevelType w:val="hybridMultilevel"/>
    <w:tmpl w:val="A184A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28192F"/>
    <w:multiLevelType w:val="hybridMultilevel"/>
    <w:tmpl w:val="3EE09A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CC6820"/>
    <w:multiLevelType w:val="multilevel"/>
    <w:tmpl w:val="C644CA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DA7DF9"/>
    <w:multiLevelType w:val="hybridMultilevel"/>
    <w:tmpl w:val="FB50CCBA"/>
    <w:lvl w:ilvl="0" w:tplc="A7A29FF2">
      <w:start w:val="1"/>
      <w:numFmt w:val="lowerLetter"/>
      <w:lvlText w:val="%1)"/>
      <w:lvlJc w:val="left"/>
      <w:pPr>
        <w:ind w:left="360" w:hanging="360"/>
      </w:pPr>
      <w:rPr>
        <w:rFonts w:ascii="Times New Roman" w:eastAsia="Times New Roman" w:hAnsi="Times New Roman" w:hint="default"/>
        <w:color w:val="181818"/>
        <w:w w:val="106"/>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5D21CF"/>
    <w:multiLevelType w:val="hybridMultilevel"/>
    <w:tmpl w:val="9EFCAA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2072746"/>
    <w:multiLevelType w:val="hybridMultilevel"/>
    <w:tmpl w:val="7884D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3564A22"/>
    <w:multiLevelType w:val="hybridMultilevel"/>
    <w:tmpl w:val="0AD87910"/>
    <w:lvl w:ilvl="0" w:tplc="04187DF4">
      <w:start w:val="1"/>
      <w:numFmt w:val="decimal"/>
      <w:lvlText w:val="%1"/>
      <w:lvlJc w:val="left"/>
      <w:pPr>
        <w:ind w:left="2205" w:hanging="765"/>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0">
    <w:nsid w:val="55F97CB3"/>
    <w:multiLevelType w:val="hybridMultilevel"/>
    <w:tmpl w:val="FADA05E6"/>
    <w:lvl w:ilvl="0" w:tplc="6E7878CE">
      <w:numFmt w:val="bullet"/>
      <w:lvlText w:val="-"/>
      <w:lvlJc w:val="left"/>
      <w:pPr>
        <w:ind w:left="720" w:hanging="360"/>
      </w:pPr>
      <w:rPr>
        <w:rFonts w:ascii="Bookman Old Style" w:eastAsia="Times New Roma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165F2E"/>
    <w:multiLevelType w:val="hybridMultilevel"/>
    <w:tmpl w:val="9710A8F4"/>
    <w:lvl w:ilvl="0" w:tplc="5C62A1D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3F32E3"/>
    <w:multiLevelType w:val="hybridMultilevel"/>
    <w:tmpl w:val="A184A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D4537F"/>
    <w:multiLevelType w:val="hybridMultilevel"/>
    <w:tmpl w:val="7CBCA764"/>
    <w:lvl w:ilvl="0" w:tplc="5E3C892A">
      <w:numFmt w:val="bullet"/>
      <w:lvlText w:val="-"/>
      <w:lvlJc w:val="left"/>
      <w:pPr>
        <w:ind w:left="720" w:hanging="360"/>
      </w:pPr>
      <w:rPr>
        <w:rFonts w:ascii="Bookman Old Style" w:eastAsiaTheme="minorHAnsi"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nsid w:val="6C427E52"/>
    <w:multiLevelType w:val="hybridMultilevel"/>
    <w:tmpl w:val="54B8A516"/>
    <w:lvl w:ilvl="0" w:tplc="11B2252C">
      <w:start w:val="10"/>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13423D"/>
    <w:multiLevelType w:val="hybridMultilevel"/>
    <w:tmpl w:val="DD3840A0"/>
    <w:lvl w:ilvl="0" w:tplc="4732CC80">
      <w:numFmt w:val="bullet"/>
      <w:lvlText w:val="-"/>
      <w:lvlJc w:val="left"/>
      <w:pPr>
        <w:ind w:left="720" w:hanging="360"/>
      </w:pPr>
      <w:rPr>
        <w:rFonts w:ascii="Bookman Old Style" w:eastAsia="Times New Roma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3D1066"/>
    <w:multiLevelType w:val="multilevel"/>
    <w:tmpl w:val="6AACB5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3A43ABE"/>
    <w:multiLevelType w:val="hybridMultilevel"/>
    <w:tmpl w:val="DDE40BEA"/>
    <w:lvl w:ilvl="0" w:tplc="5C62A1D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50D3443"/>
    <w:multiLevelType w:val="hybridMultilevel"/>
    <w:tmpl w:val="5808C500"/>
    <w:lvl w:ilvl="0" w:tplc="04100017">
      <w:start w:val="1"/>
      <w:numFmt w:val="lowerLetter"/>
      <w:lvlText w:val="%1)"/>
      <w:lvlJc w:val="left"/>
      <w:pPr>
        <w:ind w:left="1287" w:hanging="360"/>
      </w:pPr>
      <w:rPr>
        <w:rFonts w:hint="default"/>
        <w:color w:val="181818"/>
        <w:w w:val="106"/>
        <w:sz w:val="16"/>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487464"/>
    <w:multiLevelType w:val="hybridMultilevel"/>
    <w:tmpl w:val="0526CE34"/>
    <w:lvl w:ilvl="0" w:tplc="9D101B40">
      <w:start w:val="1"/>
      <w:numFmt w:val="lowerLetter"/>
      <w:lvlText w:val="%1)"/>
      <w:lvlJc w:val="left"/>
      <w:pPr>
        <w:ind w:left="1287" w:hanging="360"/>
      </w:pPr>
      <w:rPr>
        <w:rFonts w:ascii="Cambria" w:eastAsia="Times New Roman" w:hAnsi="Cambria" w:hint="default"/>
        <w:color w:val="181818"/>
        <w:w w:val="106"/>
        <w:sz w:val="16"/>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6179BB"/>
    <w:multiLevelType w:val="hybridMultilevel"/>
    <w:tmpl w:val="F1560A1C"/>
    <w:lvl w:ilvl="0" w:tplc="D23E0CDE">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8B28EA"/>
    <w:multiLevelType w:val="multilevel"/>
    <w:tmpl w:val="41DCE534"/>
    <w:lvl w:ilvl="0">
      <w:start w:val="1"/>
      <w:numFmt w:val="decimal"/>
      <w:lvlText w:val="%1."/>
      <w:lvlJc w:val="left"/>
      <w:pPr>
        <w:ind w:left="2682" w:hanging="360"/>
      </w:pPr>
      <w:rPr>
        <w:rFonts w:hint="default"/>
      </w:rPr>
    </w:lvl>
    <w:lvl w:ilvl="1">
      <w:start w:val="6"/>
      <w:numFmt w:val="decimal"/>
      <w:isLgl/>
      <w:lvlText w:val="%1.%2."/>
      <w:lvlJc w:val="left"/>
      <w:pPr>
        <w:ind w:left="3042" w:hanging="720"/>
      </w:pPr>
      <w:rPr>
        <w:rFonts w:hint="default"/>
      </w:rPr>
    </w:lvl>
    <w:lvl w:ilvl="2">
      <w:start w:val="1"/>
      <w:numFmt w:val="decimal"/>
      <w:isLgl/>
      <w:lvlText w:val="%1.%2.%3."/>
      <w:lvlJc w:val="left"/>
      <w:pPr>
        <w:ind w:left="3042" w:hanging="720"/>
      </w:pPr>
      <w:rPr>
        <w:rFonts w:hint="default"/>
      </w:rPr>
    </w:lvl>
    <w:lvl w:ilvl="3">
      <w:start w:val="1"/>
      <w:numFmt w:val="decimal"/>
      <w:isLgl/>
      <w:lvlText w:val="%1.%2.%3.%4."/>
      <w:lvlJc w:val="left"/>
      <w:pPr>
        <w:ind w:left="3402" w:hanging="1080"/>
      </w:pPr>
      <w:rPr>
        <w:rFonts w:hint="default"/>
      </w:rPr>
    </w:lvl>
    <w:lvl w:ilvl="4">
      <w:start w:val="1"/>
      <w:numFmt w:val="decimal"/>
      <w:isLgl/>
      <w:lvlText w:val="%1.%2.%3.%4.%5."/>
      <w:lvlJc w:val="left"/>
      <w:pPr>
        <w:ind w:left="3762" w:hanging="1440"/>
      </w:pPr>
      <w:rPr>
        <w:rFonts w:hint="default"/>
      </w:rPr>
    </w:lvl>
    <w:lvl w:ilvl="5">
      <w:start w:val="1"/>
      <w:numFmt w:val="decimal"/>
      <w:isLgl/>
      <w:lvlText w:val="%1.%2.%3.%4.%5.%6."/>
      <w:lvlJc w:val="left"/>
      <w:pPr>
        <w:ind w:left="3762" w:hanging="1440"/>
      </w:pPr>
      <w:rPr>
        <w:rFonts w:hint="default"/>
      </w:rPr>
    </w:lvl>
    <w:lvl w:ilvl="6">
      <w:start w:val="1"/>
      <w:numFmt w:val="decimal"/>
      <w:isLgl/>
      <w:lvlText w:val="%1.%2.%3.%4.%5.%6.%7."/>
      <w:lvlJc w:val="left"/>
      <w:pPr>
        <w:ind w:left="4122" w:hanging="1800"/>
      </w:pPr>
      <w:rPr>
        <w:rFonts w:hint="default"/>
      </w:rPr>
    </w:lvl>
    <w:lvl w:ilvl="7">
      <w:start w:val="1"/>
      <w:numFmt w:val="decimal"/>
      <w:isLgl/>
      <w:lvlText w:val="%1.%2.%3.%4.%5.%6.%7.%8."/>
      <w:lvlJc w:val="left"/>
      <w:pPr>
        <w:ind w:left="4482" w:hanging="2160"/>
      </w:pPr>
      <w:rPr>
        <w:rFonts w:hint="default"/>
      </w:rPr>
    </w:lvl>
    <w:lvl w:ilvl="8">
      <w:start w:val="1"/>
      <w:numFmt w:val="decimal"/>
      <w:isLgl/>
      <w:lvlText w:val="%1.%2.%3.%4.%5.%6.%7.%8.%9."/>
      <w:lvlJc w:val="left"/>
      <w:pPr>
        <w:ind w:left="4482" w:hanging="2160"/>
      </w:pPr>
      <w:rPr>
        <w:rFonts w:hint="default"/>
      </w:rPr>
    </w:lvl>
  </w:abstractNum>
  <w:abstractNum w:abstractNumId="32">
    <w:nsid w:val="7D590F3C"/>
    <w:multiLevelType w:val="hybridMultilevel"/>
    <w:tmpl w:val="F45283B8"/>
    <w:lvl w:ilvl="0" w:tplc="9F982258">
      <w:start w:val="1"/>
      <w:numFmt w:val="lowerLetter"/>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5440C2"/>
    <w:multiLevelType w:val="hybridMultilevel"/>
    <w:tmpl w:val="B4082D22"/>
    <w:lvl w:ilvl="0" w:tplc="B00C3BD4">
      <w:start w:val="1"/>
      <w:numFmt w:val="bullet"/>
      <w:lvlText w:val="-"/>
      <w:lvlJc w:val="left"/>
      <w:pPr>
        <w:ind w:left="720" w:hanging="360"/>
      </w:pPr>
      <w:rPr>
        <w:rFonts w:ascii="Bookman Old Style" w:eastAsia="Times New Roman" w:hAnsi="Bookman Old Style"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2"/>
  </w:num>
  <w:num w:numId="4">
    <w:abstractNumId w:val="2"/>
  </w:num>
  <w:num w:numId="5">
    <w:abstractNumId w:val="26"/>
  </w:num>
  <w:num w:numId="6">
    <w:abstractNumId w:val="19"/>
  </w:num>
  <w:num w:numId="7">
    <w:abstractNumId w:val="7"/>
  </w:num>
  <w:num w:numId="8">
    <w:abstractNumId w:val="20"/>
  </w:num>
  <w:num w:numId="9">
    <w:abstractNumId w:val="25"/>
  </w:num>
  <w:num w:numId="10">
    <w:abstractNumId w:val="17"/>
  </w:num>
  <w:num w:numId="11">
    <w:abstractNumId w:val="11"/>
  </w:num>
  <w:num w:numId="12">
    <w:abstractNumId w:val="6"/>
  </w:num>
  <w:num w:numId="13">
    <w:abstractNumId w:val="14"/>
  </w:num>
  <w:num w:numId="14">
    <w:abstractNumId w:val="4"/>
  </w:num>
  <w:num w:numId="15">
    <w:abstractNumId w:val="29"/>
  </w:num>
  <w:num w:numId="16">
    <w:abstractNumId w:val="15"/>
  </w:num>
  <w:num w:numId="17">
    <w:abstractNumId w:val="16"/>
  </w:num>
  <w:num w:numId="18">
    <w:abstractNumId w:val="5"/>
  </w:num>
  <w:num w:numId="19">
    <w:abstractNumId w:val="0"/>
  </w:num>
  <w:num w:numId="20">
    <w:abstractNumId w:val="21"/>
  </w:num>
  <w:num w:numId="21">
    <w:abstractNumId w:val="31"/>
  </w:num>
  <w:num w:numId="22">
    <w:abstractNumId w:val="10"/>
  </w:num>
  <w:num w:numId="23">
    <w:abstractNumId w:val="27"/>
  </w:num>
  <w:num w:numId="24">
    <w:abstractNumId w:val="8"/>
  </w:num>
  <w:num w:numId="25">
    <w:abstractNumId w:val="24"/>
  </w:num>
  <w:num w:numId="26">
    <w:abstractNumId w:val="3"/>
  </w:num>
  <w:num w:numId="27">
    <w:abstractNumId w:val="28"/>
  </w:num>
  <w:num w:numId="28">
    <w:abstractNumId w:val="23"/>
  </w:num>
  <w:num w:numId="29">
    <w:abstractNumId w:val="22"/>
  </w:num>
  <w:num w:numId="30">
    <w:abstractNumId w:val="18"/>
  </w:num>
  <w:num w:numId="31">
    <w:abstractNumId w:val="30"/>
  </w:num>
  <w:num w:numId="32">
    <w:abstractNumId w:val="13"/>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76"/>
    <w:rsid w:val="000037BC"/>
    <w:rsid w:val="00017545"/>
    <w:rsid w:val="00017933"/>
    <w:rsid w:val="00020A7C"/>
    <w:rsid w:val="00042D03"/>
    <w:rsid w:val="00043930"/>
    <w:rsid w:val="000449D8"/>
    <w:rsid w:val="00050172"/>
    <w:rsid w:val="000507B0"/>
    <w:rsid w:val="00051CD0"/>
    <w:rsid w:val="00055625"/>
    <w:rsid w:val="0005723E"/>
    <w:rsid w:val="00062F12"/>
    <w:rsid w:val="0006550A"/>
    <w:rsid w:val="000726B9"/>
    <w:rsid w:val="00074E36"/>
    <w:rsid w:val="00074F74"/>
    <w:rsid w:val="000917E3"/>
    <w:rsid w:val="0009527C"/>
    <w:rsid w:val="000B1768"/>
    <w:rsid w:val="000B7293"/>
    <w:rsid w:val="000C1D8B"/>
    <w:rsid w:val="000D5FE0"/>
    <w:rsid w:val="000E2298"/>
    <w:rsid w:val="000E2D1C"/>
    <w:rsid w:val="000E3E8B"/>
    <w:rsid w:val="000E640A"/>
    <w:rsid w:val="000E77B5"/>
    <w:rsid w:val="000F08E4"/>
    <w:rsid w:val="000F3DC2"/>
    <w:rsid w:val="000F45D0"/>
    <w:rsid w:val="00100016"/>
    <w:rsid w:val="00100C2E"/>
    <w:rsid w:val="00102664"/>
    <w:rsid w:val="001130B6"/>
    <w:rsid w:val="0011656D"/>
    <w:rsid w:val="00130C36"/>
    <w:rsid w:val="001319E4"/>
    <w:rsid w:val="0013365A"/>
    <w:rsid w:val="0014254F"/>
    <w:rsid w:val="00154BAA"/>
    <w:rsid w:val="00161150"/>
    <w:rsid w:val="001664E9"/>
    <w:rsid w:val="001766A0"/>
    <w:rsid w:val="00176AEA"/>
    <w:rsid w:val="00185ECD"/>
    <w:rsid w:val="001914CC"/>
    <w:rsid w:val="001928FF"/>
    <w:rsid w:val="001A3E63"/>
    <w:rsid w:val="001A435E"/>
    <w:rsid w:val="001A67D3"/>
    <w:rsid w:val="001B1598"/>
    <w:rsid w:val="001B412D"/>
    <w:rsid w:val="001B6D8D"/>
    <w:rsid w:val="001C71DE"/>
    <w:rsid w:val="001D01AC"/>
    <w:rsid w:val="001D4CA4"/>
    <w:rsid w:val="001E02FC"/>
    <w:rsid w:val="001E5A01"/>
    <w:rsid w:val="001F1BEB"/>
    <w:rsid w:val="001F345A"/>
    <w:rsid w:val="001F4A45"/>
    <w:rsid w:val="00202EF8"/>
    <w:rsid w:val="002030AC"/>
    <w:rsid w:val="002069FB"/>
    <w:rsid w:val="00210128"/>
    <w:rsid w:val="002118F7"/>
    <w:rsid w:val="00212F3E"/>
    <w:rsid w:val="0022275A"/>
    <w:rsid w:val="00227298"/>
    <w:rsid w:val="00230515"/>
    <w:rsid w:val="002363E3"/>
    <w:rsid w:val="0023795D"/>
    <w:rsid w:val="0024283C"/>
    <w:rsid w:val="00246F5E"/>
    <w:rsid w:val="00255807"/>
    <w:rsid w:val="00273439"/>
    <w:rsid w:val="002735F9"/>
    <w:rsid w:val="00280C0A"/>
    <w:rsid w:val="0029080C"/>
    <w:rsid w:val="00292DC6"/>
    <w:rsid w:val="00295279"/>
    <w:rsid w:val="00295DFC"/>
    <w:rsid w:val="00296394"/>
    <w:rsid w:val="002A348A"/>
    <w:rsid w:val="002B5AFD"/>
    <w:rsid w:val="002B794F"/>
    <w:rsid w:val="002D2278"/>
    <w:rsid w:val="002D28F8"/>
    <w:rsid w:val="002D699E"/>
    <w:rsid w:val="002E133C"/>
    <w:rsid w:val="002E1858"/>
    <w:rsid w:val="002E4354"/>
    <w:rsid w:val="002F14ED"/>
    <w:rsid w:val="002F2E7D"/>
    <w:rsid w:val="002F2EA4"/>
    <w:rsid w:val="002F496C"/>
    <w:rsid w:val="002F4E7B"/>
    <w:rsid w:val="00301303"/>
    <w:rsid w:val="00303979"/>
    <w:rsid w:val="003075AE"/>
    <w:rsid w:val="00315165"/>
    <w:rsid w:val="003272E8"/>
    <w:rsid w:val="00340B1F"/>
    <w:rsid w:val="003469DE"/>
    <w:rsid w:val="00346EA8"/>
    <w:rsid w:val="00350B44"/>
    <w:rsid w:val="00352699"/>
    <w:rsid w:val="00354309"/>
    <w:rsid w:val="00356BE0"/>
    <w:rsid w:val="00362E48"/>
    <w:rsid w:val="00365B2E"/>
    <w:rsid w:val="00367807"/>
    <w:rsid w:val="00371353"/>
    <w:rsid w:val="00371EB0"/>
    <w:rsid w:val="00376667"/>
    <w:rsid w:val="00383589"/>
    <w:rsid w:val="0039591D"/>
    <w:rsid w:val="00397674"/>
    <w:rsid w:val="003A3604"/>
    <w:rsid w:val="003A4566"/>
    <w:rsid w:val="003A5E64"/>
    <w:rsid w:val="003A7C9A"/>
    <w:rsid w:val="003B6D62"/>
    <w:rsid w:val="003C4F84"/>
    <w:rsid w:val="003D4EE6"/>
    <w:rsid w:val="003D5290"/>
    <w:rsid w:val="003F09C7"/>
    <w:rsid w:val="003F2703"/>
    <w:rsid w:val="0040086A"/>
    <w:rsid w:val="0040337B"/>
    <w:rsid w:val="00407602"/>
    <w:rsid w:val="00411CC3"/>
    <w:rsid w:val="0042127D"/>
    <w:rsid w:val="00422E29"/>
    <w:rsid w:val="00423F5D"/>
    <w:rsid w:val="00431965"/>
    <w:rsid w:val="00434007"/>
    <w:rsid w:val="00437143"/>
    <w:rsid w:val="004372D7"/>
    <w:rsid w:val="00440DA1"/>
    <w:rsid w:val="00447C2D"/>
    <w:rsid w:val="004519F5"/>
    <w:rsid w:val="004544ED"/>
    <w:rsid w:val="00466D9D"/>
    <w:rsid w:val="00467974"/>
    <w:rsid w:val="004709CA"/>
    <w:rsid w:val="00472F3D"/>
    <w:rsid w:val="00475AE3"/>
    <w:rsid w:val="00480A75"/>
    <w:rsid w:val="00482E76"/>
    <w:rsid w:val="00490FF3"/>
    <w:rsid w:val="004A14CD"/>
    <w:rsid w:val="004A2B23"/>
    <w:rsid w:val="004A2FE4"/>
    <w:rsid w:val="004A4506"/>
    <w:rsid w:val="004A5065"/>
    <w:rsid w:val="004B39C2"/>
    <w:rsid w:val="004B677A"/>
    <w:rsid w:val="004D1E99"/>
    <w:rsid w:val="004E5758"/>
    <w:rsid w:val="004E7D5C"/>
    <w:rsid w:val="004F0AD1"/>
    <w:rsid w:val="004F0B6B"/>
    <w:rsid w:val="004F4B3F"/>
    <w:rsid w:val="00507AB3"/>
    <w:rsid w:val="005150F2"/>
    <w:rsid w:val="00525F24"/>
    <w:rsid w:val="00527667"/>
    <w:rsid w:val="00537533"/>
    <w:rsid w:val="0054409D"/>
    <w:rsid w:val="00544E54"/>
    <w:rsid w:val="00546CF0"/>
    <w:rsid w:val="00551661"/>
    <w:rsid w:val="00553885"/>
    <w:rsid w:val="00556768"/>
    <w:rsid w:val="005766C2"/>
    <w:rsid w:val="00580186"/>
    <w:rsid w:val="00582C23"/>
    <w:rsid w:val="005A0DED"/>
    <w:rsid w:val="005A6E8B"/>
    <w:rsid w:val="005A7A15"/>
    <w:rsid w:val="005B3807"/>
    <w:rsid w:val="005B4CD3"/>
    <w:rsid w:val="005B6E3C"/>
    <w:rsid w:val="005C199B"/>
    <w:rsid w:val="005D00E6"/>
    <w:rsid w:val="005D177D"/>
    <w:rsid w:val="005D2C30"/>
    <w:rsid w:val="005D68E1"/>
    <w:rsid w:val="005D6E96"/>
    <w:rsid w:val="005E69B6"/>
    <w:rsid w:val="005F37B0"/>
    <w:rsid w:val="00611473"/>
    <w:rsid w:val="00615AB1"/>
    <w:rsid w:val="0064139A"/>
    <w:rsid w:val="00642E93"/>
    <w:rsid w:val="006643E6"/>
    <w:rsid w:val="00672EE4"/>
    <w:rsid w:val="00677665"/>
    <w:rsid w:val="006A7527"/>
    <w:rsid w:val="006B12E6"/>
    <w:rsid w:val="006C3FE6"/>
    <w:rsid w:val="006D0DE5"/>
    <w:rsid w:val="006D47F7"/>
    <w:rsid w:val="006D7340"/>
    <w:rsid w:val="006E4096"/>
    <w:rsid w:val="006E6CC5"/>
    <w:rsid w:val="007124A0"/>
    <w:rsid w:val="007134FC"/>
    <w:rsid w:val="00717FBC"/>
    <w:rsid w:val="0072461A"/>
    <w:rsid w:val="00725DE9"/>
    <w:rsid w:val="00726C0E"/>
    <w:rsid w:val="00734C3F"/>
    <w:rsid w:val="007370E4"/>
    <w:rsid w:val="00740B84"/>
    <w:rsid w:val="00746092"/>
    <w:rsid w:val="00756525"/>
    <w:rsid w:val="00757178"/>
    <w:rsid w:val="00762055"/>
    <w:rsid w:val="00766AFC"/>
    <w:rsid w:val="00782D49"/>
    <w:rsid w:val="00792055"/>
    <w:rsid w:val="00793FA8"/>
    <w:rsid w:val="00794255"/>
    <w:rsid w:val="00795B09"/>
    <w:rsid w:val="007A41B8"/>
    <w:rsid w:val="007A4CEB"/>
    <w:rsid w:val="007A73A5"/>
    <w:rsid w:val="007B0619"/>
    <w:rsid w:val="007B47BF"/>
    <w:rsid w:val="007C1BB6"/>
    <w:rsid w:val="007C4645"/>
    <w:rsid w:val="007D3088"/>
    <w:rsid w:val="007D5F23"/>
    <w:rsid w:val="007D695C"/>
    <w:rsid w:val="007E23EE"/>
    <w:rsid w:val="007F387B"/>
    <w:rsid w:val="008121EF"/>
    <w:rsid w:val="008134B8"/>
    <w:rsid w:val="00820580"/>
    <w:rsid w:val="0082661A"/>
    <w:rsid w:val="008336A8"/>
    <w:rsid w:val="0083462C"/>
    <w:rsid w:val="00840F2B"/>
    <w:rsid w:val="00841019"/>
    <w:rsid w:val="00851678"/>
    <w:rsid w:val="00854D48"/>
    <w:rsid w:val="00855E48"/>
    <w:rsid w:val="00864563"/>
    <w:rsid w:val="008670C9"/>
    <w:rsid w:val="00890D82"/>
    <w:rsid w:val="00894391"/>
    <w:rsid w:val="00895AE3"/>
    <w:rsid w:val="008B1FCC"/>
    <w:rsid w:val="008C16BA"/>
    <w:rsid w:val="008D0D6F"/>
    <w:rsid w:val="008D1D39"/>
    <w:rsid w:val="008E0C52"/>
    <w:rsid w:val="008F0D67"/>
    <w:rsid w:val="008F5E6D"/>
    <w:rsid w:val="00901754"/>
    <w:rsid w:val="00902E03"/>
    <w:rsid w:val="00910591"/>
    <w:rsid w:val="00913276"/>
    <w:rsid w:val="00924641"/>
    <w:rsid w:val="00931380"/>
    <w:rsid w:val="0093271A"/>
    <w:rsid w:val="0094293A"/>
    <w:rsid w:val="0096392F"/>
    <w:rsid w:val="00964093"/>
    <w:rsid w:val="009643C7"/>
    <w:rsid w:val="00974EA1"/>
    <w:rsid w:val="00977038"/>
    <w:rsid w:val="009826ED"/>
    <w:rsid w:val="00985EC6"/>
    <w:rsid w:val="00991011"/>
    <w:rsid w:val="00991A37"/>
    <w:rsid w:val="009962DD"/>
    <w:rsid w:val="009A4739"/>
    <w:rsid w:val="009B10BD"/>
    <w:rsid w:val="009B248E"/>
    <w:rsid w:val="009B36FE"/>
    <w:rsid w:val="009B61BF"/>
    <w:rsid w:val="009B6801"/>
    <w:rsid w:val="009C53DF"/>
    <w:rsid w:val="009F324F"/>
    <w:rsid w:val="009F6343"/>
    <w:rsid w:val="00A0120A"/>
    <w:rsid w:val="00A0267E"/>
    <w:rsid w:val="00A0300A"/>
    <w:rsid w:val="00A07C89"/>
    <w:rsid w:val="00A1218A"/>
    <w:rsid w:val="00A12AE9"/>
    <w:rsid w:val="00A17CB1"/>
    <w:rsid w:val="00A24B43"/>
    <w:rsid w:val="00A30037"/>
    <w:rsid w:val="00A33306"/>
    <w:rsid w:val="00A4180C"/>
    <w:rsid w:val="00A5075F"/>
    <w:rsid w:val="00A719B8"/>
    <w:rsid w:val="00A73772"/>
    <w:rsid w:val="00A84A34"/>
    <w:rsid w:val="00A8625A"/>
    <w:rsid w:val="00A9579E"/>
    <w:rsid w:val="00AA5C7B"/>
    <w:rsid w:val="00AA5E01"/>
    <w:rsid w:val="00AA7B93"/>
    <w:rsid w:val="00AB639F"/>
    <w:rsid w:val="00AC445E"/>
    <w:rsid w:val="00AC5962"/>
    <w:rsid w:val="00AD164A"/>
    <w:rsid w:val="00AD5DD5"/>
    <w:rsid w:val="00AE48BD"/>
    <w:rsid w:val="00AE7337"/>
    <w:rsid w:val="00AF3AF2"/>
    <w:rsid w:val="00B027C1"/>
    <w:rsid w:val="00B02F97"/>
    <w:rsid w:val="00B03F4D"/>
    <w:rsid w:val="00B06DB7"/>
    <w:rsid w:val="00B218D6"/>
    <w:rsid w:val="00B22CC7"/>
    <w:rsid w:val="00B3229B"/>
    <w:rsid w:val="00B3258D"/>
    <w:rsid w:val="00B35BD3"/>
    <w:rsid w:val="00B371CE"/>
    <w:rsid w:val="00B425C3"/>
    <w:rsid w:val="00B47BEE"/>
    <w:rsid w:val="00B52E59"/>
    <w:rsid w:val="00B666B4"/>
    <w:rsid w:val="00B7549B"/>
    <w:rsid w:val="00B8237F"/>
    <w:rsid w:val="00B902F7"/>
    <w:rsid w:val="00B92298"/>
    <w:rsid w:val="00B922BD"/>
    <w:rsid w:val="00BA321E"/>
    <w:rsid w:val="00BA4088"/>
    <w:rsid w:val="00BA5676"/>
    <w:rsid w:val="00BC2BA3"/>
    <w:rsid w:val="00BC689C"/>
    <w:rsid w:val="00BE06DA"/>
    <w:rsid w:val="00BF0E76"/>
    <w:rsid w:val="00BF20DA"/>
    <w:rsid w:val="00BF459A"/>
    <w:rsid w:val="00BF5E20"/>
    <w:rsid w:val="00C04E5C"/>
    <w:rsid w:val="00C26F33"/>
    <w:rsid w:val="00C656B0"/>
    <w:rsid w:val="00C8385C"/>
    <w:rsid w:val="00C85628"/>
    <w:rsid w:val="00CA0D7E"/>
    <w:rsid w:val="00CA5FF8"/>
    <w:rsid w:val="00CA65C8"/>
    <w:rsid w:val="00CA7064"/>
    <w:rsid w:val="00CB10BB"/>
    <w:rsid w:val="00CB4DC2"/>
    <w:rsid w:val="00CC370B"/>
    <w:rsid w:val="00CC7526"/>
    <w:rsid w:val="00CD266C"/>
    <w:rsid w:val="00CE06E4"/>
    <w:rsid w:val="00CF1FE5"/>
    <w:rsid w:val="00CF323E"/>
    <w:rsid w:val="00CF788A"/>
    <w:rsid w:val="00D00FA1"/>
    <w:rsid w:val="00D06782"/>
    <w:rsid w:val="00D17BA8"/>
    <w:rsid w:val="00D20B58"/>
    <w:rsid w:val="00D20B73"/>
    <w:rsid w:val="00D21533"/>
    <w:rsid w:val="00D238EA"/>
    <w:rsid w:val="00D35C6B"/>
    <w:rsid w:val="00D36387"/>
    <w:rsid w:val="00D421EC"/>
    <w:rsid w:val="00D456F5"/>
    <w:rsid w:val="00D47216"/>
    <w:rsid w:val="00D47AE6"/>
    <w:rsid w:val="00D54A48"/>
    <w:rsid w:val="00D6171B"/>
    <w:rsid w:val="00D629D8"/>
    <w:rsid w:val="00D733F8"/>
    <w:rsid w:val="00D74FD4"/>
    <w:rsid w:val="00D76650"/>
    <w:rsid w:val="00D80789"/>
    <w:rsid w:val="00D8179F"/>
    <w:rsid w:val="00D82B2D"/>
    <w:rsid w:val="00D86E96"/>
    <w:rsid w:val="00DA3659"/>
    <w:rsid w:val="00DA4CC0"/>
    <w:rsid w:val="00DB1FF3"/>
    <w:rsid w:val="00DC040B"/>
    <w:rsid w:val="00DC06D0"/>
    <w:rsid w:val="00DC1ABA"/>
    <w:rsid w:val="00DC2470"/>
    <w:rsid w:val="00DC3B54"/>
    <w:rsid w:val="00DC3EA9"/>
    <w:rsid w:val="00DC6731"/>
    <w:rsid w:val="00DD4285"/>
    <w:rsid w:val="00DD5A22"/>
    <w:rsid w:val="00DE13B4"/>
    <w:rsid w:val="00DE4B6E"/>
    <w:rsid w:val="00DF36FB"/>
    <w:rsid w:val="00E175C3"/>
    <w:rsid w:val="00E2663C"/>
    <w:rsid w:val="00E30BC8"/>
    <w:rsid w:val="00E30F20"/>
    <w:rsid w:val="00E3131F"/>
    <w:rsid w:val="00E33D86"/>
    <w:rsid w:val="00E40043"/>
    <w:rsid w:val="00E4187B"/>
    <w:rsid w:val="00E44FF9"/>
    <w:rsid w:val="00E47C9C"/>
    <w:rsid w:val="00E50B14"/>
    <w:rsid w:val="00E52F7C"/>
    <w:rsid w:val="00E55865"/>
    <w:rsid w:val="00E609A3"/>
    <w:rsid w:val="00E71A32"/>
    <w:rsid w:val="00E73B22"/>
    <w:rsid w:val="00E77404"/>
    <w:rsid w:val="00E85680"/>
    <w:rsid w:val="00E969A4"/>
    <w:rsid w:val="00E97D64"/>
    <w:rsid w:val="00E97E93"/>
    <w:rsid w:val="00EB1517"/>
    <w:rsid w:val="00EC14F8"/>
    <w:rsid w:val="00ED12BA"/>
    <w:rsid w:val="00ED5D60"/>
    <w:rsid w:val="00EE07D7"/>
    <w:rsid w:val="00EE08E0"/>
    <w:rsid w:val="00EE5099"/>
    <w:rsid w:val="00EF460C"/>
    <w:rsid w:val="00F10A2D"/>
    <w:rsid w:val="00F14312"/>
    <w:rsid w:val="00F30577"/>
    <w:rsid w:val="00F336AA"/>
    <w:rsid w:val="00F35BAD"/>
    <w:rsid w:val="00F45BEA"/>
    <w:rsid w:val="00F47467"/>
    <w:rsid w:val="00F52207"/>
    <w:rsid w:val="00F573B4"/>
    <w:rsid w:val="00F63CDB"/>
    <w:rsid w:val="00F64690"/>
    <w:rsid w:val="00F674B1"/>
    <w:rsid w:val="00F745B0"/>
    <w:rsid w:val="00F86E91"/>
    <w:rsid w:val="00F95115"/>
    <w:rsid w:val="00F965D8"/>
    <w:rsid w:val="00FA40FF"/>
    <w:rsid w:val="00FA663B"/>
    <w:rsid w:val="00FA7FDC"/>
    <w:rsid w:val="00FB4D41"/>
    <w:rsid w:val="00FB57F1"/>
    <w:rsid w:val="00FC1AAF"/>
    <w:rsid w:val="00FE3856"/>
    <w:rsid w:val="00FF7B7E"/>
    <w:rsid w:val="088AB580"/>
    <w:rsid w:val="155D11AE"/>
    <w:rsid w:val="17C61007"/>
    <w:rsid w:val="30728479"/>
    <w:rsid w:val="320C5899"/>
    <w:rsid w:val="32C531F6"/>
    <w:rsid w:val="4C2AE594"/>
    <w:rsid w:val="4E65CDAA"/>
    <w:rsid w:val="52A2D56F"/>
    <w:rsid w:val="5A052BAB"/>
    <w:rsid w:val="731ACC37"/>
    <w:rsid w:val="7724C430"/>
    <w:rsid w:val="7F7C0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F42C"/>
  <w15:docId w15:val="{73E81A70-D0C2-4C97-8732-7DD762F4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303"/>
    <w:pPr>
      <w:suppressAutoHyphens/>
    </w:pPr>
    <w:rPr>
      <w:rFonts w:ascii="Calibri" w:eastAsia="Times New Roman"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1303"/>
    <w:pPr>
      <w:ind w:left="720"/>
      <w:contextualSpacing/>
    </w:pPr>
  </w:style>
  <w:style w:type="paragraph" w:styleId="Testofumetto">
    <w:name w:val="Balloon Text"/>
    <w:basedOn w:val="Normale"/>
    <w:link w:val="TestofumettoCarattere"/>
    <w:uiPriority w:val="99"/>
    <w:semiHidden/>
    <w:unhideWhenUsed/>
    <w:rsid w:val="003835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589"/>
    <w:rPr>
      <w:rFonts w:ascii="Tahoma" w:eastAsia="Times New Roman" w:hAnsi="Tahoma" w:cs="Tahoma"/>
      <w:sz w:val="16"/>
      <w:szCs w:val="16"/>
      <w:lang w:eastAsia="ar-SA"/>
    </w:rPr>
  </w:style>
  <w:style w:type="table" w:styleId="Grigliatabella">
    <w:name w:val="Table Grid"/>
    <w:basedOn w:val="Tabellanormale"/>
    <w:uiPriority w:val="39"/>
    <w:rsid w:val="00B0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B47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47BF"/>
    <w:rPr>
      <w:rFonts w:ascii="Calibri" w:eastAsia="Times New Roman" w:hAnsi="Calibri" w:cs="Times New Roman"/>
      <w:lang w:eastAsia="ar-SA"/>
    </w:rPr>
  </w:style>
  <w:style w:type="paragraph" w:styleId="Pidipagina">
    <w:name w:val="footer"/>
    <w:basedOn w:val="Normale"/>
    <w:link w:val="PidipaginaCarattere"/>
    <w:uiPriority w:val="99"/>
    <w:unhideWhenUsed/>
    <w:rsid w:val="007B47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47BF"/>
    <w:rPr>
      <w:rFonts w:ascii="Calibri" w:eastAsia="Times New Roman" w:hAnsi="Calibri" w:cs="Times New Roman"/>
      <w:lang w:eastAsia="ar-SA"/>
    </w:rPr>
  </w:style>
  <w:style w:type="paragraph" w:styleId="Revisione">
    <w:name w:val="Revision"/>
    <w:hidden/>
    <w:uiPriority w:val="99"/>
    <w:semiHidden/>
    <w:rsid w:val="009C53DF"/>
    <w:pPr>
      <w:spacing w:after="0" w:line="240" w:lineRule="auto"/>
    </w:pPr>
    <w:rPr>
      <w:rFonts w:ascii="Calibri" w:eastAsia="Times New Roman" w:hAnsi="Calibri" w:cs="Times New Roman"/>
      <w:lang w:eastAsia="ar-SA"/>
    </w:rPr>
  </w:style>
  <w:style w:type="character" w:styleId="Rimandocommento">
    <w:name w:val="annotation reference"/>
    <w:basedOn w:val="Carpredefinitoparagrafo"/>
    <w:uiPriority w:val="99"/>
    <w:semiHidden/>
    <w:unhideWhenUsed/>
    <w:rsid w:val="00CB4DC2"/>
    <w:rPr>
      <w:sz w:val="16"/>
      <w:szCs w:val="16"/>
    </w:rPr>
  </w:style>
  <w:style w:type="paragraph" w:styleId="Testocommento">
    <w:name w:val="annotation text"/>
    <w:basedOn w:val="Normale"/>
    <w:link w:val="TestocommentoCarattere"/>
    <w:uiPriority w:val="99"/>
    <w:semiHidden/>
    <w:unhideWhenUsed/>
    <w:rsid w:val="00CB4D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B4DC2"/>
    <w:rPr>
      <w:rFonts w:ascii="Calibri" w:eastAsia="Times New Roman" w:hAnsi="Calibr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CB4DC2"/>
    <w:rPr>
      <w:b/>
      <w:bCs/>
    </w:rPr>
  </w:style>
  <w:style w:type="character" w:customStyle="1" w:styleId="SoggettocommentoCarattere">
    <w:name w:val="Soggetto commento Carattere"/>
    <w:basedOn w:val="TestocommentoCarattere"/>
    <w:link w:val="Soggettocommento"/>
    <w:uiPriority w:val="99"/>
    <w:semiHidden/>
    <w:rsid w:val="00CB4DC2"/>
    <w:rPr>
      <w:rFonts w:ascii="Calibri" w:eastAsia="Times New Roman"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47468">
      <w:bodyDiv w:val="1"/>
      <w:marLeft w:val="0"/>
      <w:marRight w:val="0"/>
      <w:marTop w:val="0"/>
      <w:marBottom w:val="0"/>
      <w:divBdr>
        <w:top w:val="none" w:sz="0" w:space="0" w:color="auto"/>
        <w:left w:val="none" w:sz="0" w:space="0" w:color="auto"/>
        <w:bottom w:val="none" w:sz="0" w:space="0" w:color="auto"/>
        <w:right w:val="none" w:sz="0" w:space="0" w:color="auto"/>
      </w:divBdr>
    </w:div>
    <w:div w:id="635260404">
      <w:bodyDiv w:val="1"/>
      <w:marLeft w:val="0"/>
      <w:marRight w:val="0"/>
      <w:marTop w:val="0"/>
      <w:marBottom w:val="0"/>
      <w:divBdr>
        <w:top w:val="none" w:sz="0" w:space="0" w:color="auto"/>
        <w:left w:val="none" w:sz="0" w:space="0" w:color="auto"/>
        <w:bottom w:val="none" w:sz="0" w:space="0" w:color="auto"/>
        <w:right w:val="none" w:sz="0" w:space="0" w:color="auto"/>
      </w:divBdr>
    </w:div>
    <w:div w:id="835536739">
      <w:bodyDiv w:val="1"/>
      <w:marLeft w:val="0"/>
      <w:marRight w:val="0"/>
      <w:marTop w:val="0"/>
      <w:marBottom w:val="0"/>
      <w:divBdr>
        <w:top w:val="none" w:sz="0" w:space="0" w:color="auto"/>
        <w:left w:val="none" w:sz="0" w:space="0" w:color="auto"/>
        <w:bottom w:val="none" w:sz="0" w:space="0" w:color="auto"/>
        <w:right w:val="none" w:sz="0" w:space="0" w:color="auto"/>
      </w:divBdr>
    </w:div>
    <w:div w:id="1300501920">
      <w:bodyDiv w:val="1"/>
      <w:marLeft w:val="0"/>
      <w:marRight w:val="0"/>
      <w:marTop w:val="0"/>
      <w:marBottom w:val="0"/>
      <w:divBdr>
        <w:top w:val="none" w:sz="0" w:space="0" w:color="auto"/>
        <w:left w:val="none" w:sz="0" w:space="0" w:color="auto"/>
        <w:bottom w:val="none" w:sz="0" w:space="0" w:color="auto"/>
        <w:right w:val="none" w:sz="0" w:space="0" w:color="auto"/>
      </w:divBdr>
    </w:div>
    <w:div w:id="1535998533">
      <w:bodyDiv w:val="1"/>
      <w:marLeft w:val="0"/>
      <w:marRight w:val="0"/>
      <w:marTop w:val="0"/>
      <w:marBottom w:val="0"/>
      <w:divBdr>
        <w:top w:val="none" w:sz="0" w:space="0" w:color="auto"/>
        <w:left w:val="none" w:sz="0" w:space="0" w:color="auto"/>
        <w:bottom w:val="none" w:sz="0" w:space="0" w:color="auto"/>
        <w:right w:val="none" w:sz="0" w:space="0" w:color="auto"/>
      </w:divBdr>
    </w:div>
    <w:div w:id="1736933321">
      <w:bodyDiv w:val="1"/>
      <w:marLeft w:val="0"/>
      <w:marRight w:val="0"/>
      <w:marTop w:val="0"/>
      <w:marBottom w:val="0"/>
      <w:divBdr>
        <w:top w:val="none" w:sz="0" w:space="0" w:color="auto"/>
        <w:left w:val="none" w:sz="0" w:space="0" w:color="auto"/>
        <w:bottom w:val="none" w:sz="0" w:space="0" w:color="auto"/>
        <w:right w:val="none" w:sz="0" w:space="0" w:color="auto"/>
      </w:divBdr>
    </w:div>
    <w:div w:id="1927610871">
      <w:bodyDiv w:val="1"/>
      <w:marLeft w:val="0"/>
      <w:marRight w:val="0"/>
      <w:marTop w:val="0"/>
      <w:marBottom w:val="0"/>
      <w:divBdr>
        <w:top w:val="none" w:sz="0" w:space="0" w:color="auto"/>
        <w:left w:val="none" w:sz="0" w:space="0" w:color="auto"/>
        <w:bottom w:val="none" w:sz="0" w:space="0" w:color="auto"/>
        <w:right w:val="none" w:sz="0" w:space="0" w:color="auto"/>
      </w:divBdr>
    </w:div>
    <w:div w:id="19551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compat>
    <w:useFELayout/>
    <w:compatSetting w:name="compatibilityMode" w:uri="http://schemas.microsoft.com/office/word" w:val="12"/>
  </w:compat>
  <w:rsids>
    <w:rsidRoot w:val="001D7A4B"/>
    <w:rsid w:val="001D7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53FBF77516E641887E0223F6841A99" ma:contentTypeVersion="11" ma:contentTypeDescription="Creare un nuovo documento." ma:contentTypeScope="" ma:versionID="949491523442e557dc8480bcb14c779e">
  <xsd:schema xmlns:xsd="http://www.w3.org/2001/XMLSchema" xmlns:xs="http://www.w3.org/2001/XMLSchema" xmlns:p="http://schemas.microsoft.com/office/2006/metadata/properties" xmlns:ns3="1fad6436-bb63-40d1-8cc8-d2935c9eb1ee" xmlns:ns4="25f463e2-e6e1-47c5-b53c-e1a1b8678516" targetNamespace="http://schemas.microsoft.com/office/2006/metadata/properties" ma:root="true" ma:fieldsID="11246ef02ca4aa5f8416098a7a935d28" ns3:_="" ns4:_="">
    <xsd:import namespace="1fad6436-bb63-40d1-8cc8-d2935c9eb1ee"/>
    <xsd:import namespace="25f463e2-e6e1-47c5-b53c-e1a1b86785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6436-bb63-40d1-8cc8-d2935c9e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463e2-e6e1-47c5-b53c-e1a1b867851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E1A2-746A-4DC5-ACDA-D9A5F211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6436-bb63-40d1-8cc8-d2935c9eb1ee"/>
    <ds:schemaRef ds:uri="25f463e2-e6e1-47c5-b53c-e1a1b867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F5A66-B4CE-4790-B786-F0487C81129B}">
  <ds:schemaRefs>
    <ds:schemaRef ds:uri="http://schemas.microsoft.com/sharepoint/v3/contenttype/forms"/>
  </ds:schemaRefs>
</ds:datastoreItem>
</file>

<file path=customXml/itemProps3.xml><?xml version="1.0" encoding="utf-8"?>
<ds:datastoreItem xmlns:ds="http://schemas.openxmlformats.org/officeDocument/2006/customXml" ds:itemID="{065DC79D-AC12-4732-86C3-605B4ED3A02F}">
  <ds:schemaRefs>
    <ds:schemaRef ds:uri="http://schemas.microsoft.com/office/infopath/2007/PartnerControls"/>
    <ds:schemaRef ds:uri="http://purl.org/dc/dcmitype/"/>
    <ds:schemaRef ds:uri="http://purl.org/dc/elements/1.1/"/>
    <ds:schemaRef ds:uri="http://www.w3.org/XML/1998/namespace"/>
    <ds:schemaRef ds:uri="1fad6436-bb63-40d1-8cc8-d2935c9eb1ee"/>
    <ds:schemaRef ds:uri="http://schemas.microsoft.com/office/2006/documentManagement/types"/>
    <ds:schemaRef ds:uri="http://schemas.openxmlformats.org/package/2006/metadata/core-properties"/>
    <ds:schemaRef ds:uri="25f463e2-e6e1-47c5-b53c-e1a1b8678516"/>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87527FE-B892-4341-8546-3B281246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16535</Characters>
  <Application>Microsoft Office Word</Application>
  <DocSecurity>4</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Agostino Bultrini</dc:creator>
  <cp:lastModifiedBy>Claudia Polli</cp:lastModifiedBy>
  <cp:revision>2</cp:revision>
  <cp:lastPrinted>2019-12-12T11:16:00Z</cp:lastPrinted>
  <dcterms:created xsi:type="dcterms:W3CDTF">2020-09-28T07:40:00Z</dcterms:created>
  <dcterms:modified xsi:type="dcterms:W3CDTF">2020-09-28T07:40:00Z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0x010100C053FBF77516E641887E0223F6841A99</vt:lpwstr>
  </property>
</Properties>
</file>